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Los listados 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viajes internacionales autorizados por los entes obligados que sean financiados con fondos públicos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incluy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>endo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nombre del funcionario o empleado, destino, objetivo, valor del pasaje,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37975" w:rsidRPr="00837975">
        <w:rPr>
          <w:rFonts w:ascii="Arial" w:eastAsia="Times New Roman" w:hAnsi="Arial" w:cs="Arial"/>
          <w:sz w:val="24"/>
          <w:szCs w:val="24"/>
          <w:lang w:eastAsia="es-SV"/>
        </w:rPr>
        <w:t>viáticos asignados y cualquier otro gasto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  <w:bookmarkStart w:id="0" w:name="_GoBack"/>
      <w:bookmarkEnd w:id="0"/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“EL 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LISTADO DE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ES”,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23</cp:revision>
  <cp:lastPrinted>2017-03-27T16:17:00Z</cp:lastPrinted>
  <dcterms:created xsi:type="dcterms:W3CDTF">2017-07-12T22:32:00Z</dcterms:created>
  <dcterms:modified xsi:type="dcterms:W3CDTF">2018-01-31T07:04:00Z</dcterms:modified>
</cp:coreProperties>
</file>