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1A105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3E685D88" w:rsidR="00467F8B" w:rsidRPr="00630533" w:rsidRDefault="00467F8B" w:rsidP="00467F8B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>
        <w:rPr>
          <w:rFonts w:ascii="Arial" w:hAnsi="Arial" w:cs="Arial"/>
          <w:sz w:val="24"/>
          <w:szCs w:val="24"/>
          <w:lang w:eastAsia="es-ES"/>
        </w:rPr>
        <w:t>2</w:t>
      </w:r>
      <w:r>
        <w:rPr>
          <w:rFonts w:ascii="Arial" w:hAnsi="Arial" w:cs="Arial"/>
          <w:sz w:val="24"/>
          <w:szCs w:val="24"/>
          <w:lang w:eastAsia="es-ES"/>
        </w:rPr>
        <w:t>7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abril de 2021</w:t>
      </w:r>
    </w:p>
    <w:p w14:paraId="1D72E6DF" w14:textId="77777777" w:rsidR="00467F8B" w:rsidRPr="00630533" w:rsidRDefault="00467F8B" w:rsidP="00467F8B">
      <w:pPr>
        <w:pStyle w:val="Sinespaciad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467F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467F8B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5CB06443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034D61" w14:textId="77777777" w:rsidR="00467F8B" w:rsidRPr="00630533" w:rsidRDefault="00467F8B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36A4777" w14:textId="77777777" w:rsidR="00DE7074" w:rsidRPr="002551F0" w:rsidRDefault="00DE7074" w:rsidP="00136B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0F447294" w14:textId="77777777" w:rsidR="00DE7074" w:rsidRPr="002551F0" w:rsidRDefault="00DE7074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AA451F1" w14:textId="3BAD6D2E" w:rsidR="00DE7074" w:rsidRDefault="00DE7074" w:rsidP="00136B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579412B" w14:textId="32430C20" w:rsidR="00136B60" w:rsidRDefault="00136B60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marco del cumplimiento de la Ley de Acceso a la Información Pública en el Artículo 10 </w:t>
      </w:r>
      <w:r>
        <w:rPr>
          <w:rFonts w:ascii="Arial" w:hAnsi="Arial" w:cs="Arial"/>
          <w:sz w:val="24"/>
          <w:szCs w:val="24"/>
        </w:rPr>
        <w:t>numeral</w:t>
      </w:r>
      <w:r>
        <w:rPr>
          <w:rFonts w:ascii="Arial" w:hAnsi="Arial" w:cs="Arial"/>
          <w:sz w:val="24"/>
          <w:szCs w:val="24"/>
        </w:rPr>
        <w:t xml:space="preserve"> 17 “Los entes obligados deberán hacer pública la información relativa a montos y destinatarios privados de recursos públicos, así como los informes que éstos rinda sobre el uso de dichos recursos”, por éste medio, tengo bien informar a la ciudadanía, que el Consejo, en el ámbito de sus funciones institucionales no aporta recursos públicos a destinatarios privados, por lo que tampoco se elaboran informes al respecto.</w:t>
      </w:r>
    </w:p>
    <w:p w14:paraId="07424C64" w14:textId="77777777" w:rsidR="00136B60" w:rsidRPr="002551F0" w:rsidRDefault="00136B60" w:rsidP="00136B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DE7074" w:rsidRDefault="00DE7074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136B60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136B60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77777777" w:rsidR="00BD3658" w:rsidRPr="00BD3658" w:rsidRDefault="00BD3658" w:rsidP="00515C4C">
      <w:pPr>
        <w:rPr>
          <w:rFonts w:ascii="Arial" w:hAnsi="Arial" w:cs="Arial"/>
          <w:sz w:val="24"/>
          <w:szCs w:val="24"/>
        </w:rPr>
      </w:pP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4A7A" w14:textId="77777777" w:rsidR="00526256" w:rsidRDefault="00526256" w:rsidP="002262EF">
      <w:pPr>
        <w:spacing w:after="0" w:line="240" w:lineRule="auto"/>
      </w:pPr>
      <w:r>
        <w:separator/>
      </w:r>
    </w:p>
  </w:endnote>
  <w:endnote w:type="continuationSeparator" w:id="0">
    <w:p w14:paraId="17E94E69" w14:textId="77777777" w:rsidR="00526256" w:rsidRDefault="00526256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56A093F0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 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D730" w14:textId="77777777" w:rsidR="00526256" w:rsidRDefault="00526256" w:rsidP="002262EF">
      <w:pPr>
        <w:spacing w:after="0" w:line="240" w:lineRule="auto"/>
      </w:pPr>
      <w:r>
        <w:separator/>
      </w:r>
    </w:p>
  </w:footnote>
  <w:footnote w:type="continuationSeparator" w:id="0">
    <w:p w14:paraId="278D88E6" w14:textId="77777777" w:rsidR="00526256" w:rsidRDefault="00526256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36B60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67CD"/>
    <w:rsid w:val="00510136"/>
    <w:rsid w:val="00511B56"/>
    <w:rsid w:val="005132FC"/>
    <w:rsid w:val="00515C4C"/>
    <w:rsid w:val="00526256"/>
    <w:rsid w:val="005462B3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90E0B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5C81"/>
    <w:rsid w:val="00D364E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2021-04-27T17:10:00Z</dcterms:created>
  <dcterms:modified xsi:type="dcterms:W3CDTF">2021-04-27T17:10:00Z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