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705A" w:rsidRDefault="00D014C4">
      <w:pPr>
        <w:spacing w:after="0" w:line="360" w:lineRule="auto"/>
        <w:rPr>
          <w:sz w:val="2"/>
          <w:szCs w:val="2"/>
        </w:rPr>
      </w:pPr>
      <w:r>
        <w:rPr>
          <w:rFonts w:ascii="Century Gothic" w:eastAsia="Century Gothic" w:hAnsi="Century Gothic" w:cs="Century Gothic"/>
          <w:b/>
          <w:noProof/>
          <w:color w:val="000000"/>
          <w:sz w:val="20"/>
          <w:szCs w:val="20"/>
          <w:lang w:val="en-US"/>
        </w:rPr>
        <w:drawing>
          <wp:anchor distT="0" distB="0" distL="114300" distR="114300" simplePos="0" relativeHeight="251665920" behindDoc="0" locked="0" layoutInCell="1" allowOverlap="1" wp14:anchorId="2C6435EC" wp14:editId="1B75792D">
            <wp:simplePos x="0" y="0"/>
            <wp:positionH relativeFrom="column">
              <wp:posOffset>4634865</wp:posOffset>
            </wp:positionH>
            <wp:positionV relativeFrom="paragraph">
              <wp:posOffset>-2540</wp:posOffset>
            </wp:positionV>
            <wp:extent cx="1356156" cy="619125"/>
            <wp:effectExtent l="0" t="0" r="0" b="0"/>
            <wp:wrapNone/>
            <wp:docPr id="10" name="Imagen 10" descr="C:\Users\Usuario\AppData\Local\Microsoft\Windows\INetCache\Content.Word\uaipgran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uario\AppData\Local\Microsoft\Windows\INetCache\Content.Word\uaipgrand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738"/>
                    <a:stretch/>
                  </pic:blipFill>
                  <pic:spPr bwMode="auto">
                    <a:xfrm>
                      <a:off x="0" y="0"/>
                      <a:ext cx="1356156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3872" behindDoc="0" locked="0" layoutInCell="1" allowOverlap="1" wp14:anchorId="1EF6450B" wp14:editId="68C37F4D">
            <wp:simplePos x="0" y="0"/>
            <wp:positionH relativeFrom="column">
              <wp:posOffset>-156210</wp:posOffset>
            </wp:positionH>
            <wp:positionV relativeFrom="paragraph">
              <wp:posOffset>35560</wp:posOffset>
            </wp:positionV>
            <wp:extent cx="761365" cy="898525"/>
            <wp:effectExtent l="0" t="0" r="635" b="0"/>
            <wp:wrapNone/>
            <wp:docPr id="9" name="Imagen 9" descr="C:\Users\Usuario\AppData\Local\Microsoft\Windows\INetCache\Content.Word\Escu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uario\AppData\Local\Microsoft\Windows\INetCache\Content.Word\Escud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365" cy="89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E705A" w:rsidRDefault="004D3904">
      <w:pPr>
        <w:rPr>
          <w:sz w:val="8"/>
          <w:szCs w:val="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824" behindDoc="0" locked="0" layoutInCell="1" hidden="0" allowOverlap="1" wp14:anchorId="55B60EA7" wp14:editId="445CF23C">
                <wp:simplePos x="0" y="0"/>
                <wp:positionH relativeFrom="column">
                  <wp:posOffset>1000125</wp:posOffset>
                </wp:positionH>
                <wp:positionV relativeFrom="paragraph">
                  <wp:posOffset>9525</wp:posOffset>
                </wp:positionV>
                <wp:extent cx="3462020" cy="271780"/>
                <wp:effectExtent l="0" t="0" r="0" b="0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2020" cy="2717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E705A" w:rsidRPr="00D014C4" w:rsidRDefault="004D3904">
                            <w:pPr>
                              <w:spacing w:line="275" w:lineRule="auto"/>
                              <w:jc w:val="right"/>
                              <w:textDirection w:val="btLr"/>
                            </w:pPr>
                            <w:r w:rsidRPr="00D014C4">
                              <w:rPr>
                                <w:b/>
                                <w:sz w:val="30"/>
                              </w:rPr>
                              <w:t xml:space="preserve">Unidad de Acceso a la Información Pública  </w:t>
                            </w:r>
                          </w:p>
                        </w:txbxContent>
                      </wps:txbx>
                      <wps:bodyPr spcFirstLastPara="1" wrap="square" lIns="12700" tIns="12700" rIns="12700" bIns="12700" anchor="t" anchorCtr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5B60EA7" id="Rectángulo redondeado 3" o:spid="_x0000_s1026" style="position:absolute;margin-left:78.75pt;margin-top:.75pt;width:272.6pt;height:21.4pt;z-index:251661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" filled="f" stroked="f">
                <v:textbox inset="1pt,1pt,1pt,1pt">
                  <w:txbxContent>
                    <w:p w:rsidR="00EE705A" w:rsidRPr="00D014C4" w:rsidRDefault="004D3904">
                      <w:pPr>
                        <w:spacing w:line="275" w:lineRule="auto"/>
                        <w:jc w:val="right"/>
                        <w:textDirection w:val="btLr"/>
                      </w:pPr>
                      <w:r w:rsidRPr="00D014C4">
                        <w:rPr>
                          <w:b/>
                          <w:sz w:val="30"/>
                        </w:rPr>
                        <w:t xml:space="preserve">Unidad de Acceso a la Información Pública  </w:t>
                      </w:r>
                    </w:p>
                  </w:txbxContent>
                </v:textbox>
              </v:roundrect>
            </w:pict>
          </mc:Fallback>
        </mc:AlternateContent>
      </w:r>
    </w:p>
    <w:p w:rsidR="00EE705A" w:rsidRDefault="00D014C4">
      <w:pPr>
        <w:rPr>
          <w:rFonts w:ascii="Century Gothic" w:eastAsia="Century Gothic" w:hAnsi="Century Gothic" w:cs="Century Gothic"/>
          <w:b/>
          <w:color w:val="000000"/>
          <w:sz w:val="20"/>
          <w:szCs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700405</wp:posOffset>
                </wp:positionH>
                <wp:positionV relativeFrom="paragraph">
                  <wp:posOffset>109220</wp:posOffset>
                </wp:positionV>
                <wp:extent cx="3914775" cy="9525"/>
                <wp:effectExtent l="38100" t="38100" r="66675" b="85725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147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182E54" id="Conector recto 12" o:spid="_x0000_s1026" style="position:absolute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15pt,8.6pt" to="363.4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968" behindDoc="0" locked="0" layoutInCell="1" hidden="0" allowOverlap="1" wp14:anchorId="1E48D142" wp14:editId="6A90A066">
                <wp:simplePos x="0" y="0"/>
                <wp:positionH relativeFrom="column">
                  <wp:posOffset>971550</wp:posOffset>
                </wp:positionH>
                <wp:positionV relativeFrom="paragraph">
                  <wp:posOffset>133985</wp:posOffset>
                </wp:positionV>
                <wp:extent cx="3462020" cy="271780"/>
                <wp:effectExtent l="0" t="0" r="0" b="0"/>
                <wp:wrapNone/>
                <wp:docPr id="11" name="Rectángulo redondead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2020" cy="2717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014C4" w:rsidRPr="00D014C4" w:rsidRDefault="00D014C4" w:rsidP="00D014C4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 w:rsidRPr="00D014C4">
                              <w:rPr>
                                <w:b/>
                                <w:sz w:val="30"/>
                              </w:rPr>
                              <w:t>Alcaldía Municipal de Chirilagua</w:t>
                            </w:r>
                          </w:p>
                        </w:txbxContent>
                      </wps:txbx>
                      <wps:bodyPr spcFirstLastPara="1" wrap="square" lIns="12700" tIns="12700" rIns="12700" bIns="12700" anchor="t" anchorCtr="0"/>
                    </wps:wsp>
                  </a:graphicData>
                </a:graphic>
              </wp:anchor>
            </w:drawing>
          </mc:Choice>
          <mc:Fallback>
            <w:pict>
              <v:roundrect w14:anchorId="1E48D142" id="Rectángulo redondeado 11" o:spid="_x0000_s1027" style="position:absolute;margin-left:76.5pt;margin-top:10.55pt;width:272.6pt;height:21.4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" filled="f" stroked="f">
                <v:textbox inset="1pt,1pt,1pt,1pt">
                  <w:txbxContent>
                    <w:p w:rsidR="00D014C4" w:rsidRPr="00D014C4" w:rsidRDefault="00D014C4" w:rsidP="00D014C4">
                      <w:pPr>
                        <w:spacing w:line="275" w:lineRule="auto"/>
                        <w:jc w:val="center"/>
                        <w:textDirection w:val="btLr"/>
                      </w:pPr>
                      <w:r w:rsidRPr="00D014C4">
                        <w:rPr>
                          <w:b/>
                          <w:sz w:val="30"/>
                        </w:rPr>
                        <w:t>Alcaldía Municipal de Chirilagua</w:t>
                      </w:r>
                    </w:p>
                  </w:txbxContent>
                </v:textbox>
              </v:roundrect>
            </w:pict>
          </mc:Fallback>
        </mc:AlternateContent>
      </w:r>
    </w:p>
    <w:p w:rsidR="00EE705A" w:rsidRDefault="00EE705A">
      <w:pPr>
        <w:rPr>
          <w:rFonts w:ascii="Century Gothic" w:eastAsia="Century Gothic" w:hAnsi="Century Gothic" w:cs="Century Gothic"/>
          <w:b/>
          <w:color w:val="000000"/>
          <w:sz w:val="20"/>
          <w:szCs w:val="20"/>
        </w:rPr>
      </w:pPr>
    </w:p>
    <w:p w:rsidR="00EE705A" w:rsidRDefault="004D3904">
      <w:pPr>
        <w:jc w:val="center"/>
        <w:rPr>
          <w:rFonts w:ascii="Century Gothic" w:eastAsia="Century Gothic" w:hAnsi="Century Gothic" w:cs="Century Gothic"/>
          <w:b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b/>
          <w:color w:val="000000"/>
          <w:sz w:val="20"/>
          <w:szCs w:val="20"/>
        </w:rPr>
        <w:t xml:space="preserve">DECLARATORIA DE INEXISTENCIA </w:t>
      </w:r>
    </w:p>
    <w:p w:rsidR="00EE705A" w:rsidRDefault="00D014C4">
      <w:pPr>
        <w:spacing w:after="0" w:line="360" w:lineRule="auto"/>
        <w:jc w:val="both"/>
        <w:rPr>
          <w:rFonts w:ascii="Century Gothic" w:eastAsia="Century Gothic" w:hAnsi="Century Gothic" w:cs="Century Gothic"/>
          <w:b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b/>
          <w:color w:val="000000"/>
          <w:sz w:val="20"/>
          <w:szCs w:val="20"/>
        </w:rPr>
        <w:t>La Alcaldía Municipal de Chirilagua</w:t>
      </w:r>
      <w:r w:rsidR="004D3904">
        <w:rPr>
          <w:rFonts w:ascii="Century Gothic" w:eastAsia="Century Gothic" w:hAnsi="Century Gothic" w:cs="Century Gothic"/>
          <w:b/>
          <w:color w:val="000000"/>
          <w:sz w:val="20"/>
          <w:szCs w:val="20"/>
        </w:rPr>
        <w:t>, comunica a la población en general, lo siguiente:</w:t>
      </w:r>
    </w:p>
    <w:p w:rsidR="00EE705A" w:rsidRDefault="00EE705A">
      <w:pPr>
        <w:spacing w:after="0" w:line="360" w:lineRule="auto"/>
        <w:jc w:val="both"/>
        <w:rPr>
          <w:rFonts w:ascii="Century Gothic" w:eastAsia="Century Gothic" w:hAnsi="Century Gothic" w:cs="Century Gothic"/>
          <w:b/>
          <w:color w:val="000000"/>
          <w:sz w:val="20"/>
          <w:szCs w:val="20"/>
        </w:rPr>
      </w:pPr>
    </w:p>
    <w:p w:rsidR="00EE705A" w:rsidRDefault="004D3904">
      <w:pPr>
        <w:spacing w:after="0" w:line="360" w:lineRule="auto"/>
        <w:jc w:val="both"/>
        <w:rPr>
          <w:rFonts w:ascii="Century Gothic" w:eastAsia="Century Gothic" w:hAnsi="Century Gothic" w:cs="Century Gothic"/>
          <w:b/>
          <w:i/>
          <w:color w:val="000000"/>
          <w:sz w:val="20"/>
          <w:szCs w:val="20"/>
        </w:rPr>
      </w:pPr>
      <w:bookmarkStart w:id="0" w:name="_gjdgxs" w:colFirst="0" w:colLast="0"/>
      <w:bookmarkEnd w:id="0"/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En el marco del cumplimiento de la Ley de Acceso a la Información Pública, todas las instituciones del Estado, estamos obligadas a poner a disposición de los </w:t>
      </w:r>
      <w:r w:rsidR="0082004F">
        <w:rPr>
          <w:rFonts w:ascii="Century Gothic" w:eastAsia="Century Gothic" w:hAnsi="Century Gothic" w:cs="Century Gothic"/>
          <w:color w:val="000000"/>
          <w:sz w:val="20"/>
          <w:szCs w:val="20"/>
        </w:rPr>
        <w:t>usuarios, la</w:t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información que se genera, gestiona o administra, como resultado del quehacer diario de la administración </w:t>
      </w:r>
      <w:r w:rsidR="0082004F">
        <w:rPr>
          <w:rFonts w:ascii="Century Gothic" w:eastAsia="Century Gothic" w:hAnsi="Century Gothic" w:cs="Century Gothic"/>
          <w:color w:val="000000"/>
          <w:sz w:val="20"/>
          <w:szCs w:val="20"/>
        </w:rPr>
        <w:t>pública; sin</w:t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</w:t>
      </w:r>
      <w:r w:rsidR="0082004F">
        <w:rPr>
          <w:rFonts w:ascii="Century Gothic" w:eastAsia="Century Gothic" w:hAnsi="Century Gothic" w:cs="Century Gothic"/>
          <w:color w:val="000000"/>
          <w:sz w:val="20"/>
          <w:szCs w:val="20"/>
        </w:rPr>
        <w:t>embargo,</w:t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</w:t>
      </w:r>
      <w:r w:rsidR="0082004F">
        <w:rPr>
          <w:rFonts w:ascii="Century Gothic" w:eastAsia="Century Gothic" w:hAnsi="Century Gothic" w:cs="Century Gothic"/>
          <w:color w:val="000000"/>
          <w:sz w:val="20"/>
          <w:szCs w:val="20"/>
        </w:rPr>
        <w:t>la municipalidad</w:t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por Ley, su objeto principal </w:t>
      </w:r>
      <w:r>
        <w:rPr>
          <w:rFonts w:ascii="Century Gothic" w:eastAsia="Century Gothic" w:hAnsi="Century Gothic" w:cs="Century Gothic"/>
          <w:b/>
          <w:i/>
          <w:color w:val="000000"/>
          <w:sz w:val="20"/>
          <w:szCs w:val="20"/>
        </w:rPr>
        <w:t>“</w:t>
      </w:r>
      <w:r w:rsidR="0082004F">
        <w:rPr>
          <w:rFonts w:ascii="Century Gothic" w:eastAsia="Century Gothic" w:hAnsi="Century Gothic" w:cs="Century Gothic"/>
          <w:b/>
          <w:i/>
          <w:color w:val="000000"/>
          <w:sz w:val="20"/>
          <w:szCs w:val="20"/>
        </w:rPr>
        <w:t>realizar la administración municipal con transparencia, austeridad, eficiencia y eficacia</w:t>
      </w:r>
      <w:r>
        <w:rPr>
          <w:rFonts w:ascii="Century Gothic" w:eastAsia="Century Gothic" w:hAnsi="Century Gothic" w:cs="Century Gothic"/>
          <w:b/>
          <w:i/>
          <w:color w:val="000000"/>
          <w:sz w:val="20"/>
          <w:szCs w:val="20"/>
        </w:rPr>
        <w:t>.”</w:t>
      </w:r>
    </w:p>
    <w:p w:rsidR="00EE705A" w:rsidRDefault="00EE705A">
      <w:pPr>
        <w:spacing w:after="0" w:line="360" w:lineRule="auto"/>
        <w:jc w:val="both"/>
        <w:rPr>
          <w:rFonts w:ascii="Century Gothic" w:eastAsia="Century Gothic" w:hAnsi="Century Gothic" w:cs="Century Gothic"/>
          <w:color w:val="000000"/>
          <w:sz w:val="20"/>
          <w:szCs w:val="20"/>
        </w:rPr>
      </w:pPr>
    </w:p>
    <w:p w:rsidR="00EE705A" w:rsidRPr="00F6282E" w:rsidRDefault="004D3904">
      <w:pPr>
        <w:spacing w:after="0" w:line="360" w:lineRule="auto"/>
        <w:jc w:val="both"/>
        <w:rPr>
          <w:rFonts w:ascii="Century Gothic" w:eastAsia="Century Gothic" w:hAnsi="Century Gothic" w:cs="Century Gothic"/>
          <w:b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En este contexto, se determina que de conformidad a lo señalado en el </w:t>
      </w:r>
      <w:r>
        <w:rPr>
          <w:rFonts w:ascii="Century Gothic" w:eastAsia="Century Gothic" w:hAnsi="Century Gothic" w:cs="Century Gothic"/>
          <w:b/>
          <w:color w:val="000000"/>
          <w:sz w:val="20"/>
          <w:szCs w:val="20"/>
        </w:rPr>
        <w:t xml:space="preserve">Art. </w:t>
      </w:r>
      <w:r w:rsidR="00CF26E0">
        <w:rPr>
          <w:rFonts w:ascii="Century Gothic" w:eastAsia="Century Gothic" w:hAnsi="Century Gothic" w:cs="Century Gothic"/>
          <w:b/>
          <w:color w:val="000000"/>
          <w:sz w:val="20"/>
          <w:szCs w:val="20"/>
        </w:rPr>
        <w:t>10</w:t>
      </w:r>
      <w:r>
        <w:rPr>
          <w:rFonts w:ascii="Century Gothic" w:eastAsia="Century Gothic" w:hAnsi="Century Gothic" w:cs="Century Gothic"/>
          <w:b/>
          <w:color w:val="000000"/>
          <w:sz w:val="20"/>
          <w:szCs w:val="20"/>
        </w:rPr>
        <w:t xml:space="preserve"> de la LAIP</w:t>
      </w:r>
      <w:r w:rsidR="003301BF">
        <w:rPr>
          <w:rFonts w:ascii="Century Gothic" w:eastAsia="Century Gothic" w:hAnsi="Century Gothic" w:cs="Century Gothic"/>
          <w:b/>
          <w:color w:val="000000"/>
          <w:sz w:val="20"/>
          <w:szCs w:val="20"/>
        </w:rPr>
        <w:t xml:space="preserve"> y Lineamiento 2 de la Guía de Aplicación de lineamientos de publicación de información oficiosa</w:t>
      </w:r>
      <w:r w:rsidR="00CF26E0">
        <w:rPr>
          <w:rFonts w:ascii="Century Gothic" w:eastAsia="Century Gothic" w:hAnsi="Century Gothic" w:cs="Century Gothic"/>
          <w:b/>
          <w:color w:val="000000"/>
          <w:sz w:val="20"/>
          <w:szCs w:val="20"/>
        </w:rPr>
        <w:t>, así como en la Ley de Procedimientos administrativos</w:t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, y que se expresa que </w:t>
      </w:r>
      <w:r w:rsidR="0082004F"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los entes obligados </w:t>
      </w:r>
      <w:r w:rsidR="003301BF"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publicaran </w:t>
      </w:r>
      <w:r w:rsidR="00CF26E0">
        <w:rPr>
          <w:rFonts w:ascii="Century Gothic" w:eastAsia="Century Gothic" w:hAnsi="Century Gothic" w:cs="Century Gothic"/>
          <w:color w:val="000000"/>
          <w:sz w:val="20"/>
          <w:szCs w:val="20"/>
        </w:rPr>
        <w:t>la</w:t>
      </w:r>
      <w:r w:rsidR="003301BF"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</w:t>
      </w:r>
      <w:r w:rsidR="001428A8">
        <w:rPr>
          <w:rFonts w:ascii="Century Gothic" w:eastAsia="Century Gothic" w:hAnsi="Century Gothic" w:cs="Century Gothic"/>
          <w:b/>
          <w:color w:val="000000"/>
          <w:sz w:val="20"/>
          <w:szCs w:val="20"/>
        </w:rPr>
        <w:t xml:space="preserve">Guía de Tramites y Servicios, Art. 12 </w:t>
      </w:r>
      <w:r w:rsidR="001428A8" w:rsidRPr="001428A8">
        <w:rPr>
          <w:rFonts w:ascii="Century Gothic" w:eastAsia="Century Gothic" w:hAnsi="Century Gothic" w:cs="Century Gothic"/>
          <w:b/>
          <w:color w:val="000000"/>
          <w:sz w:val="20"/>
          <w:szCs w:val="20"/>
        </w:rPr>
        <w:t>de la LPA</w:t>
      </w:r>
      <w:r w:rsidR="003301BF" w:rsidRPr="001428A8">
        <w:rPr>
          <w:rFonts w:ascii="Century Gothic" w:eastAsia="Century Gothic" w:hAnsi="Century Gothic" w:cs="Century Gothic"/>
          <w:b/>
          <w:color w:val="000000"/>
          <w:sz w:val="20"/>
          <w:szCs w:val="20"/>
        </w:rPr>
        <w:t>.</w:t>
      </w:r>
    </w:p>
    <w:p w:rsidR="00EE705A" w:rsidRDefault="00EE705A">
      <w:pPr>
        <w:spacing w:after="0" w:line="360" w:lineRule="auto"/>
        <w:jc w:val="both"/>
        <w:rPr>
          <w:rFonts w:ascii="Century Gothic" w:eastAsia="Century Gothic" w:hAnsi="Century Gothic" w:cs="Century Gothic"/>
          <w:color w:val="000000"/>
          <w:sz w:val="20"/>
          <w:szCs w:val="20"/>
        </w:rPr>
      </w:pPr>
    </w:p>
    <w:p w:rsidR="00EE705A" w:rsidRDefault="004D3904">
      <w:pPr>
        <w:spacing w:after="0" w:line="360" w:lineRule="auto"/>
        <w:jc w:val="both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Por lo anterior, </w:t>
      </w:r>
      <w:r w:rsidR="0082004F">
        <w:rPr>
          <w:rFonts w:ascii="Century Gothic" w:eastAsia="Century Gothic" w:hAnsi="Century Gothic" w:cs="Century Gothic"/>
          <w:color w:val="000000"/>
          <w:sz w:val="20"/>
          <w:szCs w:val="20"/>
        </w:rPr>
        <w:t>dicho proceso</w:t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es de carácter </w:t>
      </w:r>
      <w:r w:rsidR="000D28F9">
        <w:rPr>
          <w:rFonts w:ascii="Century Gothic" w:eastAsia="Century Gothic" w:hAnsi="Century Gothic" w:cs="Century Gothic"/>
          <w:b/>
          <w:color w:val="000000"/>
          <w:sz w:val="20"/>
          <w:szCs w:val="20"/>
        </w:rPr>
        <w:t>I</w:t>
      </w:r>
      <w:r>
        <w:rPr>
          <w:rFonts w:ascii="Century Gothic" w:eastAsia="Century Gothic" w:hAnsi="Century Gothic" w:cs="Century Gothic"/>
          <w:b/>
          <w:color w:val="000000"/>
          <w:sz w:val="20"/>
          <w:szCs w:val="20"/>
        </w:rPr>
        <w:t xml:space="preserve">nexistente </w:t>
      </w:r>
      <w:r w:rsidR="001428A8"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dentro de la Unidad de </w:t>
      </w:r>
      <w:r w:rsidR="00B2131F">
        <w:rPr>
          <w:rFonts w:ascii="Century Gothic" w:eastAsia="Century Gothic" w:hAnsi="Century Gothic" w:cs="Century Gothic"/>
          <w:color w:val="000000"/>
          <w:sz w:val="20"/>
          <w:szCs w:val="20"/>
        </w:rPr>
        <w:t>GESTION DOCUMENTAL Y ARCHIVO</w:t>
      </w:r>
      <w:r w:rsidR="00616E4F"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</w:t>
      </w:r>
      <w:r w:rsidR="001428A8"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de </w:t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nuestra institución, en vista que no se ha generado ninguna </w:t>
      </w:r>
      <w:r w:rsidR="0082004F"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información concerniente </w:t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a este, </w:t>
      </w:r>
      <w:r w:rsidR="008D47DE"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desde </w:t>
      </w:r>
      <w:r w:rsidR="00F1141F">
        <w:rPr>
          <w:rFonts w:ascii="Century Gothic" w:eastAsia="Century Gothic" w:hAnsi="Century Gothic" w:cs="Century Gothic"/>
          <w:color w:val="000000"/>
          <w:sz w:val="20"/>
          <w:szCs w:val="20"/>
        </w:rPr>
        <w:t>abril</w:t>
      </w:r>
      <w:r w:rsidR="008D47DE"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hasta </w:t>
      </w:r>
      <w:r w:rsidR="0080700D">
        <w:rPr>
          <w:rFonts w:ascii="Century Gothic" w:eastAsia="Century Gothic" w:hAnsi="Century Gothic" w:cs="Century Gothic"/>
          <w:color w:val="000000"/>
          <w:sz w:val="20"/>
          <w:szCs w:val="20"/>
        </w:rPr>
        <w:t>3</w:t>
      </w:r>
      <w:r w:rsidR="00F1141F">
        <w:rPr>
          <w:rFonts w:ascii="Century Gothic" w:eastAsia="Century Gothic" w:hAnsi="Century Gothic" w:cs="Century Gothic"/>
          <w:color w:val="000000"/>
          <w:sz w:val="20"/>
          <w:szCs w:val="20"/>
        </w:rPr>
        <w:t>0</w:t>
      </w:r>
      <w:r w:rsidR="0080700D"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de </w:t>
      </w:r>
      <w:r w:rsidR="00F1141F">
        <w:rPr>
          <w:rFonts w:ascii="Century Gothic" w:eastAsia="Century Gothic" w:hAnsi="Century Gothic" w:cs="Century Gothic"/>
          <w:color w:val="000000"/>
          <w:sz w:val="20"/>
          <w:szCs w:val="20"/>
        </w:rPr>
        <w:t>junio</w:t>
      </w:r>
      <w:r w:rsidR="0080700D"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2019</w:t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>, por parte de las unidades administrativas de la institución. No obstante que, en caso de darse, se publicará para su consulta, de una manera oportuna y veraz.</w:t>
      </w:r>
    </w:p>
    <w:p w:rsidR="00EE705A" w:rsidRDefault="00EE705A">
      <w:pPr>
        <w:spacing w:after="0" w:line="360" w:lineRule="auto"/>
        <w:jc w:val="both"/>
        <w:rPr>
          <w:rFonts w:ascii="Century Gothic" w:eastAsia="Century Gothic" w:hAnsi="Century Gothic" w:cs="Century Gothic"/>
          <w:color w:val="000000"/>
          <w:sz w:val="20"/>
          <w:szCs w:val="20"/>
        </w:rPr>
      </w:pPr>
    </w:p>
    <w:p w:rsidR="00EE705A" w:rsidRDefault="004D3904">
      <w:pPr>
        <w:spacing w:after="0" w:line="360" w:lineRule="auto"/>
        <w:jc w:val="both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No habiendo más que hacer constar, y para constancia firmo y sello la presente declaratoria de inexistencia. En la ciudad de Chirilagua, a los </w:t>
      </w:r>
      <w:r w:rsidR="008D4BBC"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treinta </w:t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días del mes de </w:t>
      </w:r>
      <w:r w:rsidR="00F1141F">
        <w:rPr>
          <w:rFonts w:ascii="Century Gothic" w:eastAsia="Century Gothic" w:hAnsi="Century Gothic" w:cs="Century Gothic"/>
          <w:color w:val="000000"/>
          <w:sz w:val="20"/>
          <w:szCs w:val="20"/>
        </w:rPr>
        <w:t>julio</w:t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 del año dos mil diecinueve. </w:t>
      </w:r>
    </w:p>
    <w:p w:rsidR="00EE705A" w:rsidRDefault="00EE705A">
      <w:pPr>
        <w:spacing w:after="0" w:line="360" w:lineRule="auto"/>
        <w:jc w:val="both"/>
        <w:rPr>
          <w:rFonts w:ascii="Century Gothic" w:eastAsia="Century Gothic" w:hAnsi="Century Gothic" w:cs="Century Gothic"/>
          <w:color w:val="000000"/>
          <w:sz w:val="20"/>
          <w:szCs w:val="20"/>
        </w:rPr>
      </w:pPr>
    </w:p>
    <w:p w:rsidR="00F6282E" w:rsidRDefault="00B9126C" w:rsidP="00B9126C">
      <w:pPr>
        <w:jc w:val="center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>
        <w:rPr>
          <w:noProof/>
          <w:lang w:val="en-US"/>
        </w:rPr>
        <w:drawing>
          <wp:inline distT="0" distB="0" distL="0" distR="0" wp14:anchorId="4297FB2B" wp14:editId="0DE0A0CC">
            <wp:extent cx="2105025" cy="1503680"/>
            <wp:effectExtent l="0" t="0" r="9525" b="1270"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227" t="11856" r="13541" b="63890"/>
                    <a:stretch/>
                  </pic:blipFill>
                  <pic:spPr bwMode="auto">
                    <a:xfrm>
                      <a:off x="0" y="0"/>
                      <a:ext cx="2105025" cy="150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6282E" w:rsidRDefault="00F6282E" w:rsidP="00F6282E">
      <w:pPr>
        <w:spacing w:after="0" w:line="240" w:lineRule="auto"/>
        <w:ind w:left="-284"/>
        <w:jc w:val="center"/>
        <w:rPr>
          <w:rFonts w:ascii="Century Gothic" w:eastAsia="Century Gothic" w:hAnsi="Century Gothic" w:cs="Century Gothic"/>
          <w:b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b/>
          <w:color w:val="000000"/>
          <w:sz w:val="20"/>
          <w:szCs w:val="20"/>
        </w:rPr>
        <w:t>Fredis Balmoris Herrera Álvarez</w:t>
      </w:r>
    </w:p>
    <w:p w:rsidR="00F6282E" w:rsidRDefault="00F6282E" w:rsidP="00F6282E">
      <w:pPr>
        <w:spacing w:after="0" w:line="240" w:lineRule="auto"/>
        <w:jc w:val="center"/>
        <w:rPr>
          <w:rFonts w:ascii="Century Gothic" w:eastAsia="Century Gothic" w:hAnsi="Century Gothic" w:cs="Century Gothic"/>
          <w:b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b/>
          <w:color w:val="000000"/>
          <w:sz w:val="20"/>
          <w:szCs w:val="20"/>
        </w:rPr>
        <w:t>Oficial de Información</w:t>
      </w:r>
    </w:p>
    <w:p w:rsidR="00EE705A" w:rsidRDefault="00EE705A" w:rsidP="00F6282E">
      <w:pPr>
        <w:rPr>
          <w:rFonts w:ascii="Century Gothic" w:eastAsia="Century Gothic" w:hAnsi="Century Gothic" w:cs="Century Gothic"/>
          <w:b/>
          <w:color w:val="000000"/>
          <w:sz w:val="20"/>
          <w:szCs w:val="20"/>
        </w:rPr>
      </w:pPr>
    </w:p>
    <w:sectPr w:rsidR="00EE705A" w:rsidSect="004D3904">
      <w:pgSz w:w="11906" w:h="16838"/>
      <w:pgMar w:top="993" w:right="1701" w:bottom="1135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05A"/>
    <w:rsid w:val="000D28F9"/>
    <w:rsid w:val="001428A8"/>
    <w:rsid w:val="001706EA"/>
    <w:rsid w:val="002163CC"/>
    <w:rsid w:val="00253CB5"/>
    <w:rsid w:val="003301BF"/>
    <w:rsid w:val="004D3904"/>
    <w:rsid w:val="00600FFB"/>
    <w:rsid w:val="00616E4F"/>
    <w:rsid w:val="0080700D"/>
    <w:rsid w:val="0082004F"/>
    <w:rsid w:val="008D47DE"/>
    <w:rsid w:val="008D4BBC"/>
    <w:rsid w:val="009D13EA"/>
    <w:rsid w:val="00A06F8A"/>
    <w:rsid w:val="00AD7E83"/>
    <w:rsid w:val="00B2131F"/>
    <w:rsid w:val="00B84499"/>
    <w:rsid w:val="00B9126C"/>
    <w:rsid w:val="00CF26E0"/>
    <w:rsid w:val="00D014C4"/>
    <w:rsid w:val="00EE705A"/>
    <w:rsid w:val="00F1141F"/>
    <w:rsid w:val="00F62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8805D1"/>
  <w15:docId w15:val="{F3C017C3-8C94-450D-AFFB-3C7858D6A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D39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39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25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242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Fredis Herrera</cp:lastModifiedBy>
  <cp:revision>8</cp:revision>
  <cp:lastPrinted>2019-02-26T20:11:00Z</cp:lastPrinted>
  <dcterms:created xsi:type="dcterms:W3CDTF">2019-09-19T19:49:00Z</dcterms:created>
  <dcterms:modified xsi:type="dcterms:W3CDTF">2020-04-29T19:23:00Z</dcterms:modified>
</cp:coreProperties>
</file>