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F0D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AF0D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OS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</w:t>
      </w:r>
      <w:r w:rsidR="00AF0D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F0D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 REESTRUCTURACIÓN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y uno de </w:t>
      </w:r>
      <w:r w:rsidR="0001084F">
        <w:rPr>
          <w:rFonts w:ascii="Arial" w:hAnsi="Arial" w:cs="Arial"/>
          <w:sz w:val="24"/>
          <w:szCs w:val="24"/>
        </w:rPr>
        <w:t>marzo</w:t>
      </w:r>
      <w:r w:rsidR="000A27BB">
        <w:rPr>
          <w:rFonts w:ascii="Arial" w:hAnsi="Arial" w:cs="Arial"/>
          <w:sz w:val="24"/>
          <w:szCs w:val="24"/>
        </w:rPr>
        <w:t xml:space="preserve"> de dos mil dieci</w:t>
      </w:r>
      <w:r w:rsidR="0001084F">
        <w:rPr>
          <w:rFonts w:ascii="Arial" w:hAnsi="Arial" w:cs="Arial"/>
          <w:sz w:val="24"/>
          <w:szCs w:val="24"/>
        </w:rPr>
        <w:t>nueve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01084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abril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B403F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lastRenderedPageBreak/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084F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4F78AC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F0D99"/>
    <w:rsid w:val="00B05E98"/>
    <w:rsid w:val="00B403F1"/>
    <w:rsid w:val="00B556FE"/>
    <w:rsid w:val="00B61E57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25</cp:revision>
  <cp:lastPrinted>2017-03-27T16:17:00Z</cp:lastPrinted>
  <dcterms:created xsi:type="dcterms:W3CDTF">2017-07-12T22:32:00Z</dcterms:created>
  <dcterms:modified xsi:type="dcterms:W3CDTF">2019-05-17T13:49:00Z</dcterms:modified>
</cp:coreProperties>
</file>