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1EDDCDD2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85770B">
        <w:rPr>
          <w:rFonts w:ascii="Times New Roman" w:hAnsi="Times New Roman" w:cs="Times New Roman"/>
          <w:b/>
          <w:szCs w:val="24"/>
        </w:rPr>
        <w:t>5</w:t>
      </w:r>
      <w:r w:rsidR="00821683">
        <w:rPr>
          <w:rFonts w:ascii="Times New Roman" w:hAnsi="Times New Roman" w:cs="Times New Roman"/>
          <w:b/>
          <w:szCs w:val="24"/>
        </w:rPr>
        <w:t>4</w:t>
      </w:r>
    </w:p>
    <w:p w14:paraId="3E2DB4E0" w14:textId="7A80C911" w:rsidR="00821683" w:rsidRDefault="00821683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786DEF05" w14:textId="28FC21F2" w:rsidR="00821683" w:rsidRPr="008345BF" w:rsidRDefault="00821683" w:rsidP="00821683">
      <w:pPr>
        <w:jc w:val="both"/>
        <w:rPr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CINCUENTA Y CUATRO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Extraordinaria</w:t>
      </w:r>
      <w:r w:rsidRPr="00041E71">
        <w:rPr>
          <w:szCs w:val="24"/>
          <w:shd w:val="clear" w:color="auto" w:fill="FFFFFF"/>
        </w:rPr>
        <w:t xml:space="preserve"> celebrada por el Concejo Municipal de Guazapa, a las </w:t>
      </w:r>
      <w:r>
        <w:rPr>
          <w:szCs w:val="24"/>
          <w:shd w:val="clear" w:color="auto" w:fill="FFFFFF"/>
        </w:rPr>
        <w:t>dieciocho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diecisiete de noviembre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</w:t>
      </w:r>
      <w:r>
        <w:rPr>
          <w:szCs w:val="24"/>
          <w:shd w:val="clear" w:color="auto" w:fill="FFFFFF"/>
        </w:rPr>
        <w:t>José Héctor Salguero Ruano</w:t>
      </w:r>
      <w:r w:rsidRPr="00041E71">
        <w:rPr>
          <w:szCs w:val="24"/>
          <w:shd w:val="clear" w:color="auto" w:fill="FFFFFF"/>
        </w:rPr>
        <w:t>, a la cual asistieron: SÍNDICO MUNICIPAL, Juan Dalton Martínez Pineda. REGIDORES PROPIETARIOS: Dinora Elizabeth Rodríguez de Rodríguez;</w:t>
      </w:r>
      <w:r>
        <w:rPr>
          <w:szCs w:val="24"/>
          <w:shd w:val="clear" w:color="auto" w:fill="FFFFFF"/>
        </w:rPr>
        <w:t xml:space="preserve"> Elenilson Marroquín Rivera</w:t>
      </w:r>
      <w:r w:rsidRPr="00041E71">
        <w:rPr>
          <w:szCs w:val="24"/>
          <w:shd w:val="clear" w:color="auto" w:fill="FFFFFF"/>
        </w:rPr>
        <w:t xml:space="preserve">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</w:t>
      </w:r>
      <w:r>
        <w:rPr>
          <w:szCs w:val="24"/>
          <w:shd w:val="clear" w:color="auto" w:fill="FFFFFF"/>
        </w:rPr>
        <w:t>,</w:t>
      </w:r>
      <w:r w:rsidRPr="00041E71">
        <w:rPr>
          <w:szCs w:val="24"/>
          <w:shd w:val="clear" w:color="auto" w:fill="FFFFFF"/>
        </w:rPr>
        <w:t xml:space="preserve"> dio por abierta la SESIÓN. Acto seguido </w:t>
      </w:r>
      <w:r>
        <w:rPr>
          <w:szCs w:val="24"/>
          <w:shd w:val="clear" w:color="auto" w:fill="FFFFFF"/>
        </w:rPr>
        <w:t>e</w:t>
      </w:r>
      <w:r w:rsidRPr="00041E71">
        <w:rPr>
          <w:szCs w:val="24"/>
          <w:shd w:val="clear" w:color="auto" w:fill="FFFFFF"/>
        </w:rPr>
        <w:t>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 </w:t>
      </w:r>
      <w:r w:rsidRPr="006E5BC1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6E5BC1">
        <w:rPr>
          <w:b/>
          <w:szCs w:val="24"/>
        </w:rPr>
        <w:t>.</w:t>
      </w:r>
      <w:r>
        <w:rPr>
          <w:bCs/>
          <w:szCs w:val="24"/>
        </w:rPr>
        <w:t xml:space="preserve"> </w:t>
      </w:r>
      <w:r w:rsidRPr="005948E9">
        <w:rPr>
          <w:szCs w:val="24"/>
        </w:rPr>
        <w:t xml:space="preserve">Vista la única oferta presentada por la empresa </w:t>
      </w:r>
      <w:r w:rsidRPr="00821683">
        <w:rPr>
          <w:b/>
          <w:szCs w:val="24"/>
          <w:highlight w:val="black"/>
        </w:rPr>
        <w:t>XXXXXXXXXX</w:t>
      </w:r>
      <w:r>
        <w:rPr>
          <w:szCs w:val="24"/>
        </w:rPr>
        <w:t xml:space="preserve"> </w:t>
      </w:r>
      <w:r w:rsidRPr="005948E9">
        <w:rPr>
          <w:szCs w:val="24"/>
        </w:rPr>
        <w:t xml:space="preserve">para el </w:t>
      </w:r>
      <w:r w:rsidRPr="00DB7C27">
        <w:rPr>
          <w:b/>
          <w:bCs/>
          <w:szCs w:val="24"/>
        </w:rPr>
        <w:t xml:space="preserve">Suministro de materiales colocación y compactación de mezcla asfáltica en caliente E= 5CM </w:t>
      </w:r>
      <w:r>
        <w:rPr>
          <w:b/>
          <w:bCs/>
          <w:szCs w:val="24"/>
        </w:rPr>
        <w:t>(</w:t>
      </w:r>
      <w:r w:rsidRPr="00DB7C27">
        <w:rPr>
          <w:b/>
          <w:bCs/>
          <w:szCs w:val="24"/>
        </w:rPr>
        <w:t>terminado</w:t>
      </w:r>
      <w:r>
        <w:rPr>
          <w:b/>
          <w:bCs/>
          <w:szCs w:val="24"/>
        </w:rPr>
        <w:t>)</w:t>
      </w:r>
      <w:r w:rsidRPr="00DB7C27">
        <w:rPr>
          <w:b/>
          <w:bCs/>
          <w:szCs w:val="24"/>
        </w:rPr>
        <w:t xml:space="preserve">, riego de liga con emulsión asfáltica 0.30 gal/m2 y 25 ml de túmulo </w:t>
      </w:r>
      <w:r>
        <w:rPr>
          <w:b/>
          <w:bCs/>
          <w:szCs w:val="24"/>
        </w:rPr>
        <w:t xml:space="preserve">proceso número 8606-2023-P0045, </w:t>
      </w:r>
      <w:r w:rsidRPr="008627E0">
        <w:rPr>
          <w:szCs w:val="24"/>
        </w:rPr>
        <w:t>por el método de contratación directa según lo estipulado en el artículo 41 de la Ley de Compras Públicas.</w:t>
      </w:r>
      <w:r>
        <w:rPr>
          <w:b/>
          <w:bCs/>
          <w:szCs w:val="24"/>
        </w:rPr>
        <w:t xml:space="preserve"> </w:t>
      </w:r>
      <w:r w:rsidRPr="005948E9">
        <w:rPr>
          <w:szCs w:val="24"/>
        </w:rPr>
        <w:t xml:space="preserve">según detalle de materiales así: </w:t>
      </w:r>
      <w:r>
        <w:rPr>
          <w:b/>
          <w:szCs w:val="24"/>
        </w:rPr>
        <w:t>1</w:t>
      </w:r>
      <w:r w:rsidRPr="005948E9">
        <w:rPr>
          <w:b/>
          <w:szCs w:val="24"/>
        </w:rPr>
        <w:t>)</w:t>
      </w:r>
      <w:r w:rsidRPr="005948E9">
        <w:rPr>
          <w:szCs w:val="24"/>
        </w:rPr>
        <w:t xml:space="preserve"> </w:t>
      </w:r>
      <w:r>
        <w:rPr>
          <w:szCs w:val="24"/>
        </w:rPr>
        <w:t>Riego de liga con emulsión asfáltica (0.30gal/m2) en un área de 5320.00</w:t>
      </w:r>
      <w:r w:rsidRPr="005948E9">
        <w:rPr>
          <w:szCs w:val="24"/>
        </w:rPr>
        <w:t xml:space="preserve"> metros cuadrados</w:t>
      </w:r>
      <w:r>
        <w:rPr>
          <w:szCs w:val="24"/>
        </w:rPr>
        <w:t xml:space="preserve"> por un precio unitario de: $1.07 dólares de los Estados Unidos de América, por un monto total de: $5,692.40 dólares de los Estados Unidos de América; </w:t>
      </w:r>
      <w:r>
        <w:rPr>
          <w:b/>
          <w:szCs w:val="24"/>
        </w:rPr>
        <w:t>2</w:t>
      </w:r>
      <w:r w:rsidRPr="005948E9">
        <w:rPr>
          <w:b/>
          <w:szCs w:val="24"/>
        </w:rPr>
        <w:t>)</w:t>
      </w:r>
      <w:r w:rsidRPr="005948E9">
        <w:rPr>
          <w:szCs w:val="24"/>
        </w:rPr>
        <w:t xml:space="preserve"> Suministro de materiales,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colocación y compactación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con mezcla asfáltica en caliente (E</w:t>
      </w:r>
      <w:r>
        <w:rPr>
          <w:szCs w:val="24"/>
        </w:rPr>
        <w:t>=</w:t>
      </w:r>
      <w:r w:rsidRPr="005948E9">
        <w:rPr>
          <w:szCs w:val="24"/>
        </w:rPr>
        <w:t xml:space="preserve">5cm. terminado </w:t>
      </w:r>
      <w:r>
        <w:rPr>
          <w:szCs w:val="24"/>
        </w:rPr>
        <w:t>en un área de 5320.00</w:t>
      </w:r>
      <w:r w:rsidRPr="005948E9">
        <w:rPr>
          <w:szCs w:val="24"/>
        </w:rPr>
        <w:t xml:space="preserve"> metros cuadrados</w:t>
      </w:r>
      <w:r>
        <w:rPr>
          <w:szCs w:val="24"/>
        </w:rPr>
        <w:t>)</w:t>
      </w:r>
      <w:r w:rsidRPr="005948E9">
        <w:rPr>
          <w:szCs w:val="24"/>
        </w:rPr>
        <w:t xml:space="preserve"> a un precio unitario de </w:t>
      </w:r>
      <w:r>
        <w:rPr>
          <w:szCs w:val="24"/>
        </w:rPr>
        <w:t>$19.80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América, </w:t>
      </w:r>
      <w:r w:rsidRPr="005948E9">
        <w:rPr>
          <w:szCs w:val="24"/>
        </w:rPr>
        <w:t xml:space="preserve"> por un</w:t>
      </w:r>
      <w:r>
        <w:rPr>
          <w:szCs w:val="24"/>
        </w:rPr>
        <w:t xml:space="preserve"> monto</w:t>
      </w:r>
      <w:r w:rsidRPr="005948E9">
        <w:rPr>
          <w:szCs w:val="24"/>
        </w:rPr>
        <w:t xml:space="preserve"> total de </w:t>
      </w:r>
      <w:r w:rsidRPr="005D6F2C">
        <w:rPr>
          <w:bCs/>
          <w:szCs w:val="24"/>
        </w:rPr>
        <w:t>$105,336.00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</w:t>
      </w:r>
      <w:r w:rsidRPr="005948E9">
        <w:rPr>
          <w:b/>
          <w:szCs w:val="24"/>
        </w:rPr>
        <w:t>;</w:t>
      </w:r>
      <w:r>
        <w:rPr>
          <w:b/>
          <w:szCs w:val="24"/>
        </w:rPr>
        <w:t xml:space="preserve"> 3) 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Túmulo</w:t>
      </w:r>
      <w:r>
        <w:rPr>
          <w:szCs w:val="24"/>
        </w:rPr>
        <w:t xml:space="preserve"> con mezcla asfáltica en caliente </w:t>
      </w:r>
      <w:r w:rsidRPr="005948E9">
        <w:rPr>
          <w:szCs w:val="24"/>
        </w:rPr>
        <w:t xml:space="preserve">(según detalle) </w:t>
      </w:r>
      <w:r>
        <w:rPr>
          <w:szCs w:val="24"/>
        </w:rPr>
        <w:t>ancho 1.0 metro alto 0.08 metro máximo en un largo de 25.0 ml</w:t>
      </w:r>
      <w:r w:rsidRPr="005948E9">
        <w:rPr>
          <w:szCs w:val="24"/>
        </w:rPr>
        <w:t xml:space="preserve"> a un precio unitario de $</w:t>
      </w:r>
      <w:r>
        <w:rPr>
          <w:szCs w:val="24"/>
        </w:rPr>
        <w:t>36.61</w:t>
      </w:r>
      <w:r w:rsidRPr="005948E9">
        <w:rPr>
          <w:szCs w:val="24"/>
        </w:rPr>
        <w:t xml:space="preserve"> dólares </w:t>
      </w:r>
      <w:r>
        <w:rPr>
          <w:szCs w:val="24"/>
        </w:rPr>
        <w:t xml:space="preserve">de los Estados Unidos de América; </w:t>
      </w:r>
      <w:r w:rsidRPr="005948E9">
        <w:rPr>
          <w:szCs w:val="24"/>
        </w:rPr>
        <w:t>por un</w:t>
      </w:r>
      <w:r>
        <w:rPr>
          <w:szCs w:val="24"/>
        </w:rPr>
        <w:t xml:space="preserve"> monto</w:t>
      </w:r>
      <w:r w:rsidRPr="005948E9">
        <w:rPr>
          <w:szCs w:val="24"/>
        </w:rPr>
        <w:t xml:space="preserve"> total de $</w:t>
      </w:r>
      <w:r>
        <w:rPr>
          <w:szCs w:val="24"/>
        </w:rPr>
        <w:t>915.25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América; </w:t>
      </w:r>
      <w:r w:rsidRPr="005948E9">
        <w:rPr>
          <w:szCs w:val="24"/>
        </w:rPr>
        <w:t xml:space="preserve"> para el Proyecto: </w:t>
      </w:r>
      <w:r w:rsidRPr="00D64562">
        <w:rPr>
          <w:b/>
          <w:szCs w:val="24"/>
        </w:rPr>
        <w:t>Construcción de cordón cuneta y asfaltado de antigua calle troncal del norte, colonia el Trapiche I cantón San Jerónimo municipio de Guazapa departamento de San Salvador.</w:t>
      </w:r>
      <w:r>
        <w:rPr>
          <w:szCs w:val="24"/>
        </w:rPr>
        <w:t xml:space="preserve"> </w:t>
      </w:r>
      <w:r w:rsidRPr="005948E9">
        <w:rPr>
          <w:szCs w:val="24"/>
        </w:rPr>
        <w:t>haciendo un monto total de</w:t>
      </w:r>
      <w:r>
        <w:rPr>
          <w:bCs/>
          <w:szCs w:val="24"/>
        </w:rPr>
        <w:t>:</w:t>
      </w:r>
      <w:r w:rsidRPr="005948E9">
        <w:rPr>
          <w:b/>
          <w:szCs w:val="24"/>
        </w:rPr>
        <w:t xml:space="preserve"> $</w:t>
      </w:r>
      <w:r>
        <w:rPr>
          <w:b/>
          <w:szCs w:val="24"/>
        </w:rPr>
        <w:t>111,943.65</w:t>
      </w:r>
      <w:r w:rsidRPr="005948E9">
        <w:rPr>
          <w:b/>
          <w:szCs w:val="24"/>
        </w:rPr>
        <w:t xml:space="preserve"> </w:t>
      </w:r>
      <w:r w:rsidRPr="00320EFF">
        <w:rPr>
          <w:bCs/>
          <w:szCs w:val="24"/>
        </w:rPr>
        <w:t>dólares</w:t>
      </w:r>
      <w:r w:rsidRPr="005948E9">
        <w:rPr>
          <w:szCs w:val="24"/>
        </w:rPr>
        <w:t xml:space="preserve"> </w:t>
      </w:r>
      <w:r>
        <w:rPr>
          <w:szCs w:val="24"/>
        </w:rPr>
        <w:t>de los Estados Unidos de América.</w:t>
      </w:r>
      <w:r w:rsidRPr="005948E9">
        <w:rPr>
          <w:szCs w:val="24"/>
        </w:rPr>
        <w:t xml:space="preserve"> </w:t>
      </w:r>
      <w:r>
        <w:rPr>
          <w:szCs w:val="24"/>
        </w:rPr>
        <w:t>La PEO d</w:t>
      </w:r>
      <w:r w:rsidRPr="005948E9">
        <w:rPr>
          <w:szCs w:val="24"/>
        </w:rPr>
        <w:t>espués de haber analizada la única oferta presentada por la</w:t>
      </w:r>
      <w:r>
        <w:rPr>
          <w:szCs w:val="24"/>
        </w:rPr>
        <w:t xml:space="preserve"> </w:t>
      </w:r>
      <w:r w:rsidRPr="005948E9">
        <w:rPr>
          <w:szCs w:val="24"/>
        </w:rPr>
        <w:t xml:space="preserve">empresa </w:t>
      </w:r>
      <w:r w:rsidRPr="00821683">
        <w:rPr>
          <w:b/>
          <w:szCs w:val="24"/>
          <w:highlight w:val="black"/>
        </w:rPr>
        <w:t>XXXXXXXXXX</w:t>
      </w:r>
      <w:r w:rsidRPr="005948E9">
        <w:rPr>
          <w:szCs w:val="24"/>
        </w:rPr>
        <w:t xml:space="preserve">, Licitación </w:t>
      </w:r>
      <w:r w:rsidRPr="008627E0">
        <w:rPr>
          <w:szCs w:val="24"/>
        </w:rPr>
        <w:t>por el método de contratación directa según lo estipulado en el artículo 41 de la Ley de Compras Públicas.</w:t>
      </w:r>
      <w:r>
        <w:rPr>
          <w:szCs w:val="24"/>
        </w:rPr>
        <w:t xml:space="preserve"> El Panel Evaluador de ofertas reviso: Capacidad financiera, oferta técnica, oferta económica y la parte legal de la empresa. En cuanto a los precios unitarios presentados por la empresa, se consideran que están dentro de lo razonable del mercado, por lo que este panel recomienda a la empresa</w:t>
      </w:r>
      <w:r w:rsidRPr="005948E9">
        <w:rPr>
          <w:szCs w:val="24"/>
        </w:rPr>
        <w:t xml:space="preserve"> </w:t>
      </w:r>
      <w:r w:rsidRPr="00821683">
        <w:rPr>
          <w:b/>
          <w:szCs w:val="24"/>
          <w:highlight w:val="black"/>
        </w:rPr>
        <w:t>XXXXXXXXXX</w:t>
      </w:r>
      <w:r>
        <w:rPr>
          <w:szCs w:val="24"/>
        </w:rPr>
        <w:t xml:space="preserve"> </w:t>
      </w:r>
      <w:r>
        <w:rPr>
          <w:szCs w:val="24"/>
        </w:rPr>
        <w:t>por cumplir con todo lo establecido en el requerimiento, e</w:t>
      </w:r>
      <w:r w:rsidRPr="005948E9">
        <w:rPr>
          <w:szCs w:val="24"/>
        </w:rPr>
        <w:t>n forma unánime</w:t>
      </w:r>
      <w:r>
        <w:rPr>
          <w:szCs w:val="24"/>
        </w:rPr>
        <w:t>.</w:t>
      </w:r>
      <w:r w:rsidRPr="005948E9">
        <w:rPr>
          <w:b/>
          <w:szCs w:val="24"/>
        </w:rPr>
        <w:t xml:space="preserve"> ACUERDA</w:t>
      </w:r>
      <w:r w:rsidRPr="005948E9">
        <w:rPr>
          <w:szCs w:val="24"/>
        </w:rPr>
        <w:t xml:space="preserve">: Adjudicar a la empresa </w:t>
      </w:r>
      <w:r w:rsidRPr="00821683">
        <w:rPr>
          <w:b/>
          <w:szCs w:val="24"/>
          <w:highlight w:val="black"/>
        </w:rPr>
        <w:t>XXXXXXXXXX</w:t>
      </w:r>
      <w:r w:rsidRPr="005948E9">
        <w:rPr>
          <w:szCs w:val="24"/>
        </w:rPr>
        <w:t xml:space="preserve"> </w:t>
      </w:r>
      <w:r w:rsidRPr="005948E9">
        <w:rPr>
          <w:szCs w:val="24"/>
        </w:rPr>
        <w:t>por presentar única oferta de</w:t>
      </w:r>
      <w:r>
        <w:rPr>
          <w:szCs w:val="24"/>
        </w:rPr>
        <w:t>:</w:t>
      </w:r>
      <w:r w:rsidRPr="005948E9">
        <w:rPr>
          <w:szCs w:val="24"/>
        </w:rPr>
        <w:t xml:space="preserve"> </w:t>
      </w:r>
      <w:r w:rsidRPr="005A3D92">
        <w:rPr>
          <w:szCs w:val="24"/>
        </w:rPr>
        <w:t>Suministro de materiales colocación y compactación de mezcla asfáltica en caliente E= 5CM (terminado), riego de liga con emulsión asfáltica 0.30 gal/m2 y 25 ml de túmulo, para el Proyecto: Construcción de cordón cuneta y asfaltado de antigua calle troncal del norte, colonia el Trapiche I cantón San Jerónimo municipio de Guazapa departamento de San Salvador.,</w:t>
      </w:r>
      <w:r w:rsidRPr="005948E9">
        <w:rPr>
          <w:szCs w:val="24"/>
        </w:rPr>
        <w:t xml:space="preserve"> </w:t>
      </w:r>
      <w:r>
        <w:rPr>
          <w:szCs w:val="24"/>
        </w:rPr>
        <w:t xml:space="preserve">según detalle de materiales así: </w:t>
      </w:r>
      <w:r w:rsidRPr="005948E9">
        <w:rPr>
          <w:szCs w:val="24"/>
        </w:rPr>
        <w:t xml:space="preserve">: </w:t>
      </w:r>
      <w:r>
        <w:rPr>
          <w:b/>
          <w:szCs w:val="24"/>
        </w:rPr>
        <w:t>1</w:t>
      </w:r>
      <w:r w:rsidRPr="005948E9">
        <w:rPr>
          <w:b/>
          <w:szCs w:val="24"/>
        </w:rPr>
        <w:t>)</w:t>
      </w:r>
      <w:r w:rsidRPr="005948E9">
        <w:rPr>
          <w:szCs w:val="24"/>
        </w:rPr>
        <w:t xml:space="preserve"> </w:t>
      </w:r>
      <w:r>
        <w:rPr>
          <w:szCs w:val="24"/>
        </w:rPr>
        <w:t>Riego de liga con emulsión asfáltica (0.30gal/m2) en un área de 5320.00</w:t>
      </w:r>
      <w:r w:rsidRPr="005948E9">
        <w:rPr>
          <w:szCs w:val="24"/>
        </w:rPr>
        <w:t xml:space="preserve"> metros cuadrados</w:t>
      </w:r>
      <w:r>
        <w:rPr>
          <w:szCs w:val="24"/>
        </w:rPr>
        <w:t xml:space="preserve"> por un precio unitario de: $1.07 dólares de los Estados Unidos de América, por un monto total de: $5,692.40 dólares de los Estados Unidos de América; </w:t>
      </w:r>
      <w:r>
        <w:rPr>
          <w:b/>
          <w:szCs w:val="24"/>
        </w:rPr>
        <w:t>2</w:t>
      </w:r>
      <w:r w:rsidRPr="005948E9">
        <w:rPr>
          <w:b/>
          <w:szCs w:val="24"/>
        </w:rPr>
        <w:t>)</w:t>
      </w:r>
      <w:r w:rsidRPr="005948E9">
        <w:rPr>
          <w:szCs w:val="24"/>
        </w:rPr>
        <w:t xml:space="preserve"> Suministro de materiales,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colocación y compactación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con mezcla asfáltica en caliente (E</w:t>
      </w:r>
      <w:r>
        <w:rPr>
          <w:szCs w:val="24"/>
        </w:rPr>
        <w:t>=</w:t>
      </w:r>
      <w:r w:rsidRPr="005948E9">
        <w:rPr>
          <w:szCs w:val="24"/>
        </w:rPr>
        <w:t xml:space="preserve">5cm. terminado </w:t>
      </w:r>
      <w:r>
        <w:rPr>
          <w:szCs w:val="24"/>
        </w:rPr>
        <w:t>en un área de 5320.00</w:t>
      </w:r>
      <w:r w:rsidRPr="005948E9">
        <w:rPr>
          <w:szCs w:val="24"/>
        </w:rPr>
        <w:t xml:space="preserve"> metros cuadrados</w:t>
      </w:r>
      <w:r>
        <w:rPr>
          <w:szCs w:val="24"/>
        </w:rPr>
        <w:t>)</w:t>
      </w:r>
      <w:r w:rsidRPr="005948E9">
        <w:rPr>
          <w:szCs w:val="24"/>
        </w:rPr>
        <w:t xml:space="preserve"> a un precio unitario de </w:t>
      </w:r>
      <w:r>
        <w:rPr>
          <w:szCs w:val="24"/>
        </w:rPr>
        <w:t>$19.80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América, </w:t>
      </w:r>
      <w:r w:rsidRPr="005948E9">
        <w:rPr>
          <w:szCs w:val="24"/>
        </w:rPr>
        <w:t xml:space="preserve"> por un total de </w:t>
      </w:r>
      <w:r w:rsidRPr="005D6F2C">
        <w:rPr>
          <w:bCs/>
          <w:szCs w:val="24"/>
        </w:rPr>
        <w:t>$105,336.00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</w:t>
      </w:r>
      <w:r w:rsidRPr="005948E9">
        <w:rPr>
          <w:b/>
          <w:szCs w:val="24"/>
        </w:rPr>
        <w:t>;</w:t>
      </w:r>
      <w:r>
        <w:rPr>
          <w:b/>
          <w:szCs w:val="24"/>
        </w:rPr>
        <w:t xml:space="preserve"> 3) </w:t>
      </w:r>
      <w:r w:rsidRPr="005948E9">
        <w:rPr>
          <w:b/>
          <w:szCs w:val="24"/>
        </w:rPr>
        <w:t xml:space="preserve"> </w:t>
      </w:r>
      <w:r w:rsidRPr="005948E9">
        <w:rPr>
          <w:szCs w:val="24"/>
        </w:rPr>
        <w:t>Túmulo</w:t>
      </w:r>
      <w:r>
        <w:rPr>
          <w:szCs w:val="24"/>
        </w:rPr>
        <w:t xml:space="preserve"> con mezcla asfáltica en caliente </w:t>
      </w:r>
      <w:r w:rsidRPr="005948E9">
        <w:rPr>
          <w:szCs w:val="24"/>
        </w:rPr>
        <w:t xml:space="preserve"> (según detalle) </w:t>
      </w:r>
      <w:r>
        <w:rPr>
          <w:szCs w:val="24"/>
        </w:rPr>
        <w:t xml:space="preserve">ancho 1.0 metro alto 0.08 </w:t>
      </w:r>
      <w:r>
        <w:rPr>
          <w:szCs w:val="24"/>
        </w:rPr>
        <w:lastRenderedPageBreak/>
        <w:t>metro máximo en un largo de 25.0 ml</w:t>
      </w:r>
      <w:r w:rsidRPr="005948E9">
        <w:rPr>
          <w:szCs w:val="24"/>
        </w:rPr>
        <w:t xml:space="preserve"> a un precio unitario de $</w:t>
      </w:r>
      <w:r>
        <w:rPr>
          <w:szCs w:val="24"/>
        </w:rPr>
        <w:t>36.61</w:t>
      </w:r>
      <w:r w:rsidRPr="005948E9">
        <w:rPr>
          <w:szCs w:val="24"/>
        </w:rPr>
        <w:t xml:space="preserve"> dólares </w:t>
      </w:r>
      <w:r>
        <w:rPr>
          <w:szCs w:val="24"/>
        </w:rPr>
        <w:t xml:space="preserve">de los Estados Unidos de América; </w:t>
      </w:r>
      <w:r w:rsidRPr="005948E9">
        <w:rPr>
          <w:szCs w:val="24"/>
        </w:rPr>
        <w:t>por un total de $</w:t>
      </w:r>
      <w:r>
        <w:rPr>
          <w:szCs w:val="24"/>
        </w:rPr>
        <w:t>915.25</w:t>
      </w:r>
      <w:r w:rsidRPr="005948E9">
        <w:rPr>
          <w:szCs w:val="24"/>
        </w:rPr>
        <w:t xml:space="preserve"> dólares</w:t>
      </w:r>
      <w:r>
        <w:rPr>
          <w:szCs w:val="24"/>
        </w:rPr>
        <w:t xml:space="preserve"> de los Estados Unidos de América; </w:t>
      </w:r>
      <w:r w:rsidRPr="005948E9">
        <w:rPr>
          <w:szCs w:val="24"/>
        </w:rPr>
        <w:t xml:space="preserve"> para el Proyecto:</w:t>
      </w:r>
      <w:r>
        <w:rPr>
          <w:szCs w:val="24"/>
        </w:rPr>
        <w:t xml:space="preserve"> </w:t>
      </w:r>
      <w:r w:rsidRPr="00D64562">
        <w:rPr>
          <w:b/>
          <w:szCs w:val="24"/>
        </w:rPr>
        <w:t>Construcción de cordón cuneta y asfaltado de antigua calle troncal del norte, colonia el Trapiche I cantón San Jerónimo municipio de Guazapa departamento de San Salvador.</w:t>
      </w:r>
      <w:r>
        <w:rPr>
          <w:b/>
          <w:szCs w:val="24"/>
        </w:rPr>
        <w:t xml:space="preserve"> </w:t>
      </w:r>
      <w:r w:rsidRPr="005948E9">
        <w:rPr>
          <w:szCs w:val="24"/>
        </w:rPr>
        <w:t xml:space="preserve">con una oferta </w:t>
      </w:r>
      <w:r>
        <w:rPr>
          <w:szCs w:val="24"/>
        </w:rPr>
        <w:t xml:space="preserve">total </w:t>
      </w:r>
      <w:r w:rsidRPr="005948E9">
        <w:rPr>
          <w:szCs w:val="24"/>
        </w:rPr>
        <w:t>de</w:t>
      </w:r>
      <w:r>
        <w:rPr>
          <w:szCs w:val="24"/>
        </w:rPr>
        <w:t>:</w:t>
      </w:r>
      <w:r w:rsidRPr="005948E9">
        <w:rPr>
          <w:szCs w:val="24"/>
        </w:rPr>
        <w:t xml:space="preserve"> </w:t>
      </w:r>
      <w:r w:rsidRPr="005948E9">
        <w:rPr>
          <w:b/>
          <w:szCs w:val="24"/>
        </w:rPr>
        <w:t>$</w:t>
      </w:r>
      <w:r>
        <w:rPr>
          <w:b/>
          <w:szCs w:val="24"/>
        </w:rPr>
        <w:t>111,943.65</w:t>
      </w:r>
      <w:r w:rsidRPr="005948E9">
        <w:rPr>
          <w:b/>
          <w:szCs w:val="24"/>
        </w:rPr>
        <w:t xml:space="preserve"> </w:t>
      </w:r>
      <w:r w:rsidRPr="00320EFF">
        <w:rPr>
          <w:bCs/>
          <w:szCs w:val="24"/>
        </w:rPr>
        <w:t>dólares</w:t>
      </w:r>
      <w:r w:rsidRPr="005948E9">
        <w:rPr>
          <w:szCs w:val="24"/>
        </w:rPr>
        <w:t xml:space="preserve"> </w:t>
      </w:r>
      <w:r>
        <w:rPr>
          <w:szCs w:val="24"/>
        </w:rPr>
        <w:t>de los Estados Unidos de América</w:t>
      </w:r>
      <w:r w:rsidRPr="005948E9">
        <w:rPr>
          <w:szCs w:val="24"/>
        </w:rPr>
        <w:t>. Se autoriza al Señor alcalde Municipal para que firme el contrato correspondiente</w:t>
      </w:r>
      <w:r>
        <w:rPr>
          <w:szCs w:val="24"/>
        </w:rPr>
        <w:t>, a la jefa de la UCP realizar el proceso correspondiente y a la tesorera Municipal realizar el pago.</w:t>
      </w:r>
      <w:r w:rsidRPr="005948E9">
        <w:rPr>
          <w:szCs w:val="24"/>
        </w:rPr>
        <w:t xml:space="preserve"> </w:t>
      </w:r>
      <w:r w:rsidRPr="008C0E63">
        <w:rPr>
          <w:b/>
          <w:bCs/>
          <w:szCs w:val="24"/>
        </w:rPr>
        <w:t>NOTIFÍQUESE y COMUNÍQUESE</w:t>
      </w:r>
      <w:r w:rsidRPr="005948E9">
        <w:rPr>
          <w:szCs w:val="24"/>
        </w:rPr>
        <w:t>.</w:t>
      </w:r>
      <w:r>
        <w:rPr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  <w:r>
        <w:rPr>
          <w:rFonts w:eastAsia="Calibri"/>
          <w:bCs/>
          <w:szCs w:val="24"/>
        </w:rPr>
        <w:t xml:space="preserve"> </w:t>
      </w:r>
    </w:p>
    <w:p w14:paraId="32123828" w14:textId="150F0C15" w:rsidR="00BA1945" w:rsidRPr="00D12CB8" w:rsidRDefault="00BA1945" w:rsidP="00D12CB8">
      <w:pPr>
        <w:jc w:val="both"/>
        <w:rPr>
          <w:szCs w:val="24"/>
        </w:rPr>
      </w:pPr>
    </w:p>
    <w:bookmarkEnd w:id="0"/>
    <w:p w14:paraId="38C61FDF" w14:textId="77777777" w:rsidR="00055017" w:rsidRPr="00050600" w:rsidRDefault="00055017" w:rsidP="00055017">
      <w:pPr>
        <w:jc w:val="center"/>
        <w:rPr>
          <w:rFonts w:eastAsia="Calibri"/>
        </w:rPr>
      </w:pPr>
      <w:r>
        <w:rPr>
          <w:rFonts w:eastAsia="Calibri"/>
        </w:rPr>
        <w:t>José Héctor Salguero Ruano</w:t>
      </w:r>
    </w:p>
    <w:p w14:paraId="23C19125" w14:textId="77777777" w:rsidR="00055017" w:rsidRPr="00050600" w:rsidRDefault="00055017" w:rsidP="00055017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8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42A0" w14:textId="77777777" w:rsidR="00C86E52" w:rsidRDefault="00C86E52">
      <w:r>
        <w:separator/>
      </w:r>
    </w:p>
  </w:endnote>
  <w:endnote w:type="continuationSeparator" w:id="0">
    <w:p w14:paraId="04D0349E" w14:textId="77777777" w:rsidR="00C86E52" w:rsidRDefault="00C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ABEB" w14:textId="77777777" w:rsidR="00C86E52" w:rsidRDefault="00C86E52">
      <w:r>
        <w:separator/>
      </w:r>
    </w:p>
  </w:footnote>
  <w:footnote w:type="continuationSeparator" w:id="0">
    <w:p w14:paraId="395212B6" w14:textId="77777777" w:rsidR="00C86E52" w:rsidRDefault="00C8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017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0703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45F87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A4DA6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47E41"/>
    <w:rsid w:val="004522DC"/>
    <w:rsid w:val="00453394"/>
    <w:rsid w:val="004639A2"/>
    <w:rsid w:val="004671BD"/>
    <w:rsid w:val="00472436"/>
    <w:rsid w:val="004936EE"/>
    <w:rsid w:val="004979BC"/>
    <w:rsid w:val="004A0061"/>
    <w:rsid w:val="004A0F52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873DF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1512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2173"/>
    <w:rsid w:val="00695696"/>
    <w:rsid w:val="006A68B2"/>
    <w:rsid w:val="006B01C5"/>
    <w:rsid w:val="006C0455"/>
    <w:rsid w:val="006C7A89"/>
    <w:rsid w:val="006D3782"/>
    <w:rsid w:val="006D5126"/>
    <w:rsid w:val="006D6880"/>
    <w:rsid w:val="006F02A5"/>
    <w:rsid w:val="006F3597"/>
    <w:rsid w:val="006F3A50"/>
    <w:rsid w:val="006F5C78"/>
    <w:rsid w:val="007031B8"/>
    <w:rsid w:val="00703B92"/>
    <w:rsid w:val="007161D8"/>
    <w:rsid w:val="007173EC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4E9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1683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5770B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D18DA"/>
    <w:rsid w:val="008E383E"/>
    <w:rsid w:val="008E4F1F"/>
    <w:rsid w:val="008F05F5"/>
    <w:rsid w:val="008F13D7"/>
    <w:rsid w:val="008F2788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8757D"/>
    <w:rsid w:val="009911AE"/>
    <w:rsid w:val="009A1F23"/>
    <w:rsid w:val="009A3DB8"/>
    <w:rsid w:val="009B3419"/>
    <w:rsid w:val="009B5686"/>
    <w:rsid w:val="009C2C84"/>
    <w:rsid w:val="009D2A12"/>
    <w:rsid w:val="009D7D52"/>
    <w:rsid w:val="009E0E17"/>
    <w:rsid w:val="009F2986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15FA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394"/>
    <w:rsid w:val="00B75AE4"/>
    <w:rsid w:val="00B7660B"/>
    <w:rsid w:val="00B77B8F"/>
    <w:rsid w:val="00B81D27"/>
    <w:rsid w:val="00B82662"/>
    <w:rsid w:val="00B94DBA"/>
    <w:rsid w:val="00BA1945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44B2"/>
    <w:rsid w:val="00C55D2D"/>
    <w:rsid w:val="00C749AA"/>
    <w:rsid w:val="00C825EA"/>
    <w:rsid w:val="00C86E52"/>
    <w:rsid w:val="00C87389"/>
    <w:rsid w:val="00C90A9F"/>
    <w:rsid w:val="00C932EE"/>
    <w:rsid w:val="00C959A3"/>
    <w:rsid w:val="00CA0158"/>
    <w:rsid w:val="00CA04E5"/>
    <w:rsid w:val="00CA5A1E"/>
    <w:rsid w:val="00CA61CA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18C"/>
    <w:rsid w:val="00CE4F72"/>
    <w:rsid w:val="00CE5138"/>
    <w:rsid w:val="00CE5700"/>
    <w:rsid w:val="00CF09B8"/>
    <w:rsid w:val="00CF1B69"/>
    <w:rsid w:val="00D06F9B"/>
    <w:rsid w:val="00D104E8"/>
    <w:rsid w:val="00D12CB8"/>
    <w:rsid w:val="00D132FD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46C0A"/>
    <w:rsid w:val="00E4758B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0C80"/>
    <w:rsid w:val="00E82013"/>
    <w:rsid w:val="00E82258"/>
    <w:rsid w:val="00E82CBD"/>
    <w:rsid w:val="00E91427"/>
    <w:rsid w:val="00E91970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42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B2B-7256-445E-81F2-D7780F1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6051</Characters>
  <Application>Microsoft Office Word</Application>
  <DocSecurity>0</DocSecurity>
  <Lines>102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3</cp:revision>
  <dcterms:created xsi:type="dcterms:W3CDTF">2024-01-17T21:22:00Z</dcterms:created>
  <dcterms:modified xsi:type="dcterms:W3CDTF">2024-01-17T21:25:00Z</dcterms:modified>
</cp:coreProperties>
</file>