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2829F5B1"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85770B">
        <w:rPr>
          <w:rFonts w:ascii="Times New Roman" w:hAnsi="Times New Roman" w:cs="Times New Roman"/>
          <w:b/>
          <w:szCs w:val="24"/>
        </w:rPr>
        <w:t>5</w:t>
      </w:r>
      <w:r w:rsidR="00840F1D">
        <w:rPr>
          <w:rFonts w:ascii="Times New Roman" w:hAnsi="Times New Roman" w:cs="Times New Roman"/>
          <w:b/>
          <w:szCs w:val="24"/>
        </w:rPr>
        <w:t>8</w:t>
      </w:r>
    </w:p>
    <w:p w14:paraId="6CC35D3E" w14:textId="1DDCFA7A" w:rsidR="00154A78" w:rsidRDefault="00154A78" w:rsidP="00E4166D">
      <w:pPr>
        <w:pStyle w:val="Sinespaciado"/>
        <w:keepNext w:val="0"/>
        <w:keepLines w:val="0"/>
        <w:widowControl/>
        <w:rPr>
          <w:rFonts w:ascii="Times New Roman" w:hAnsi="Times New Roman" w:cs="Times New Roman"/>
          <w:b/>
          <w:szCs w:val="24"/>
        </w:rPr>
      </w:pPr>
    </w:p>
    <w:p w14:paraId="2F13B681" w14:textId="64C731ED" w:rsidR="00154A78" w:rsidRPr="00CA6B79" w:rsidRDefault="00154A78" w:rsidP="00154A78">
      <w:pPr>
        <w:jc w:val="both"/>
        <w:rPr>
          <w:szCs w:val="24"/>
        </w:rPr>
      </w:pPr>
      <w:bookmarkStart w:id="1" w:name="_Hlk153262173"/>
      <w:r w:rsidRPr="00041E71">
        <w:rPr>
          <w:b/>
          <w:szCs w:val="24"/>
          <w:shd w:val="clear" w:color="auto" w:fill="FFFFFF"/>
        </w:rPr>
        <w:t xml:space="preserve">ACTA NÚMERO </w:t>
      </w:r>
      <w:r>
        <w:rPr>
          <w:b/>
          <w:szCs w:val="24"/>
          <w:shd w:val="clear" w:color="auto" w:fill="FFFFFF"/>
        </w:rPr>
        <w:t>CINCUENTA Y OCHO</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Extraordinaria</w:t>
      </w:r>
      <w:r w:rsidRPr="00041E71">
        <w:rPr>
          <w:szCs w:val="24"/>
          <w:shd w:val="clear" w:color="auto" w:fill="FFFFFF"/>
        </w:rPr>
        <w:t xml:space="preserve">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síes de diciembre</w:t>
      </w:r>
      <w:r w:rsidRPr="00041E71">
        <w:rPr>
          <w:szCs w:val="24"/>
          <w:shd w:val="clear" w:color="auto" w:fill="FFFFFF"/>
        </w:rPr>
        <w:t xml:space="preserve"> del año dos mil veintitrés. Convocada y Presidida por el Señor ALCALDE, </w:t>
      </w:r>
      <w:r>
        <w:rPr>
          <w:szCs w:val="24"/>
          <w:shd w:val="clear" w:color="auto" w:fill="FFFFFF"/>
        </w:rPr>
        <w:t>José Héctor Salguero Ruano</w:t>
      </w:r>
      <w:r w:rsidRPr="00041E71">
        <w:rPr>
          <w:szCs w:val="24"/>
          <w:shd w:val="clear" w:color="auto" w:fill="FFFFFF"/>
        </w:rPr>
        <w:t>, a la cual asistieron: SÍNDICO MUNICIPAL, Juan Dalton Martínez Pineda. REGIDORES PROPIETARIOS: Dinora Elizabeth Rodríguez de Rodríguez;</w:t>
      </w:r>
      <w:r>
        <w:rPr>
          <w:szCs w:val="24"/>
          <w:shd w:val="clear" w:color="auto" w:fill="FFFFFF"/>
        </w:rPr>
        <w:t xml:space="preserve"> Elenilson Marroquín Rivera;</w:t>
      </w:r>
      <w:r w:rsidRPr="00041E71">
        <w:rPr>
          <w:szCs w:val="24"/>
          <w:shd w:val="clear" w:color="auto" w:fill="FFFFFF"/>
        </w:rPr>
        <w:t xml:space="preserve">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r>
        <w:rPr>
          <w:b/>
          <w:szCs w:val="24"/>
          <w:shd w:val="clear" w:color="auto" w:fill="FFFFFF"/>
        </w:rPr>
        <w:t xml:space="preserve"> </w:t>
      </w:r>
      <w:r w:rsidRPr="00EA15D8">
        <w:rPr>
          <w:b/>
          <w:szCs w:val="24"/>
        </w:rPr>
        <w:t xml:space="preserve">ACUERDO NÚMERO </w:t>
      </w:r>
      <w:r>
        <w:rPr>
          <w:b/>
          <w:szCs w:val="24"/>
        </w:rPr>
        <w:t>UNO</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0B013B">
        <w:rPr>
          <w:b/>
          <w:szCs w:val="24"/>
        </w:rPr>
        <w:t>Considerando:</w:t>
      </w:r>
      <w:r w:rsidRPr="000B013B">
        <w:rPr>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0B013B">
        <w:rPr>
          <w:b/>
          <w:szCs w:val="24"/>
        </w:rPr>
        <w:t xml:space="preserve">: </w:t>
      </w:r>
      <w:r w:rsidRPr="00154A78">
        <w:rPr>
          <w:b/>
          <w:szCs w:val="24"/>
          <w:highlight w:val="black"/>
        </w:rPr>
        <w:t>XXXXXXXXXXXX</w:t>
      </w:r>
      <w:r w:rsidRPr="000B013B">
        <w:rPr>
          <w:b/>
          <w:color w:val="000000"/>
          <w:szCs w:val="24"/>
        </w:rPr>
        <w:t>,</w:t>
      </w:r>
      <w:r w:rsidRPr="000B013B">
        <w:rPr>
          <w:color w:val="FF0000"/>
          <w:szCs w:val="24"/>
        </w:rPr>
        <w:t xml:space="preserve"> </w:t>
      </w:r>
      <w:r w:rsidRPr="000B013B">
        <w:rPr>
          <w:color w:val="000000"/>
          <w:szCs w:val="24"/>
        </w:rPr>
        <w:t xml:space="preserve">sexo </w:t>
      </w:r>
      <w:r>
        <w:rPr>
          <w:color w:val="000000"/>
          <w:szCs w:val="24"/>
        </w:rPr>
        <w:t>masculino</w:t>
      </w:r>
      <w:r w:rsidRPr="000B013B">
        <w:rPr>
          <w:color w:val="000000"/>
          <w:szCs w:val="24"/>
        </w:rPr>
        <w:t xml:space="preserve">, quien nació el día </w:t>
      </w:r>
      <w:r>
        <w:rPr>
          <w:color w:val="000000"/>
          <w:szCs w:val="24"/>
        </w:rPr>
        <w:t>veintisiete de septiembre de mil novecientos  veintinueve</w:t>
      </w:r>
      <w:r w:rsidRPr="000B013B">
        <w:rPr>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b/>
          <w:szCs w:val="24"/>
        </w:rPr>
        <w:t>SE ACUERDA</w:t>
      </w:r>
      <w:r w:rsidRPr="000B013B">
        <w:rPr>
          <w:szCs w:val="24"/>
        </w:rPr>
        <w:t xml:space="preserve">: Reponer el asiento de la Partida solicitada de: </w:t>
      </w:r>
      <w:r w:rsidRPr="00154A78">
        <w:rPr>
          <w:b/>
          <w:szCs w:val="24"/>
          <w:highlight w:val="black"/>
        </w:rPr>
        <w:t>XXXXXXXXXXXX</w:t>
      </w:r>
      <w:r w:rsidRPr="000B013B">
        <w:rPr>
          <w:b/>
          <w:color w:val="000000"/>
          <w:szCs w:val="24"/>
        </w:rPr>
        <w:t xml:space="preserve">, </w:t>
      </w:r>
      <w:r w:rsidRPr="000B013B">
        <w:rPr>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9840B4">
        <w:rPr>
          <w:b/>
          <w:bCs/>
          <w:szCs w:val="24"/>
        </w:rPr>
        <w:t>NOTIFÍQUESE</w:t>
      </w:r>
      <w:r>
        <w:rPr>
          <w:szCs w:val="24"/>
        </w:rPr>
        <w:t xml:space="preserve"> y </w:t>
      </w:r>
      <w:r w:rsidRPr="000B013B">
        <w:rPr>
          <w:b/>
          <w:szCs w:val="24"/>
        </w:rPr>
        <w:t>COMUNÍQUESE</w:t>
      </w:r>
      <w:r w:rsidRPr="000B013B">
        <w:rPr>
          <w:szCs w:val="24"/>
        </w:rPr>
        <w:t>.</w:t>
      </w:r>
      <w:r>
        <w:rPr>
          <w:szCs w:val="24"/>
        </w:rPr>
        <w:t xml:space="preserve"> </w:t>
      </w:r>
      <w:bookmarkEnd w:id="1"/>
      <w:r w:rsidRPr="00EA15D8">
        <w:rPr>
          <w:b/>
          <w:szCs w:val="24"/>
        </w:rPr>
        <w:t xml:space="preserve">ACUERDO NÚMERO </w:t>
      </w:r>
      <w:r>
        <w:rPr>
          <w:b/>
          <w:szCs w:val="24"/>
        </w:rPr>
        <w:t>DOS</w:t>
      </w:r>
      <w:r w:rsidRPr="00EA15D8">
        <w:rPr>
          <w:szCs w:val="24"/>
        </w:rPr>
        <w:t>.</w:t>
      </w:r>
      <w:r>
        <w:rPr>
          <w:szCs w:val="24"/>
        </w:rPr>
        <w:t xml:space="preserve"> </w:t>
      </w:r>
      <w:r w:rsidRPr="000B013B">
        <w:rPr>
          <w:szCs w:val="24"/>
        </w:rPr>
        <w:t>El Concejo Municipal en uso de las facultades que le confiere el Código Municipal</w:t>
      </w:r>
      <w:r>
        <w:rPr>
          <w:szCs w:val="24"/>
        </w:rPr>
        <w:t xml:space="preserve"> de forma unánime</w:t>
      </w:r>
      <w:r w:rsidRPr="000B013B">
        <w:rPr>
          <w:szCs w:val="24"/>
        </w:rPr>
        <w:t>.</w:t>
      </w:r>
      <w:r>
        <w:rPr>
          <w:szCs w:val="24"/>
        </w:rPr>
        <w:t xml:space="preserve"> </w:t>
      </w:r>
      <w:r>
        <w:rPr>
          <w:b/>
          <w:szCs w:val="24"/>
        </w:rPr>
        <w:t>ACUERDA</w:t>
      </w:r>
      <w:r w:rsidRPr="000B013B">
        <w:rPr>
          <w:b/>
          <w:szCs w:val="24"/>
        </w:rPr>
        <w:t>:</w:t>
      </w:r>
      <w:r>
        <w:rPr>
          <w:b/>
          <w:szCs w:val="24"/>
        </w:rPr>
        <w:t xml:space="preserve"> </w:t>
      </w:r>
      <w:r w:rsidRPr="00B0106D">
        <w:rPr>
          <w:bCs/>
          <w:szCs w:val="24"/>
        </w:rPr>
        <w:t>En base al artículo 103 de la Ley de Compras Públicas</w:t>
      </w:r>
      <w:r>
        <w:rPr>
          <w:bCs/>
          <w:szCs w:val="24"/>
        </w:rPr>
        <w:t>,</w:t>
      </w:r>
      <w:r w:rsidRPr="00B0106D">
        <w:rPr>
          <w:bCs/>
          <w:szCs w:val="24"/>
        </w:rPr>
        <w:t xml:space="preserve"> </w:t>
      </w:r>
      <w:r>
        <w:rPr>
          <w:bCs/>
          <w:szCs w:val="24"/>
        </w:rPr>
        <w:t xml:space="preserve">el cual establece que la Institución puede suspender o dejar sin efecto el procedimiento: </w:t>
      </w:r>
      <w:r w:rsidRPr="00E465B2">
        <w:rPr>
          <w:b/>
          <w:szCs w:val="24"/>
        </w:rPr>
        <w:t>Compra de electrodomésticos para la Municipalidad de Guazapa</w:t>
      </w:r>
      <w:r>
        <w:rPr>
          <w:bCs/>
          <w:szCs w:val="24"/>
        </w:rPr>
        <w:t xml:space="preserve">, con número de proceso: </w:t>
      </w:r>
      <w:r w:rsidRPr="00E465B2">
        <w:rPr>
          <w:b/>
          <w:szCs w:val="24"/>
        </w:rPr>
        <w:t>8606-2023-P0060</w:t>
      </w:r>
      <w:r>
        <w:rPr>
          <w:b/>
          <w:szCs w:val="24"/>
        </w:rPr>
        <w:t xml:space="preserve">, </w:t>
      </w:r>
      <w:r>
        <w:rPr>
          <w:bCs/>
          <w:szCs w:val="24"/>
        </w:rPr>
        <w:t>se notificará</w:t>
      </w:r>
      <w:r w:rsidRPr="007C4908">
        <w:rPr>
          <w:bCs/>
          <w:szCs w:val="24"/>
        </w:rPr>
        <w:t xml:space="preserve"> a los participantes</w:t>
      </w:r>
      <w:r>
        <w:rPr>
          <w:bCs/>
          <w:szCs w:val="24"/>
        </w:rPr>
        <w:t xml:space="preserve">, de la suspensión o dejar sin efecto el procedimiento, sin responsabilidad para la institución contratante, las razones que motivan la suspensión son: que la persona responsable de firmar el requerimiento no se percató de la cantidad de electrodomésticos que se describían en el mismo y la máxima Autoridad de la Institución no verifico dicho requerimiento, Son electrodomésticos que no generan beneficios, ni son necesarios para la institución. es por ello </w:t>
      </w:r>
      <w:proofErr w:type="gramStart"/>
      <w:r>
        <w:rPr>
          <w:bCs/>
          <w:szCs w:val="24"/>
        </w:rPr>
        <w:t>que</w:t>
      </w:r>
      <w:proofErr w:type="gramEnd"/>
      <w:r>
        <w:rPr>
          <w:bCs/>
          <w:szCs w:val="24"/>
        </w:rPr>
        <w:t xml:space="preserve"> se deja sin efecto el proceso antes mencionado.  </w:t>
      </w:r>
      <w:r w:rsidRPr="00046E0F">
        <w:rPr>
          <w:b/>
          <w:szCs w:val="24"/>
        </w:rPr>
        <w:t>NOTIFÍQUESE</w:t>
      </w:r>
      <w:r>
        <w:rPr>
          <w:szCs w:val="24"/>
        </w:rPr>
        <w:t xml:space="preserve"> y </w:t>
      </w:r>
      <w:r w:rsidRPr="000B013B">
        <w:rPr>
          <w:b/>
          <w:szCs w:val="24"/>
        </w:rPr>
        <w:t>COMUNÍQUESE</w:t>
      </w:r>
      <w:r w:rsidRPr="000B013B">
        <w:rPr>
          <w:szCs w:val="24"/>
        </w:rPr>
        <w:t>.</w:t>
      </w:r>
      <w:r>
        <w:rPr>
          <w:szCs w:val="24"/>
        </w:rPr>
        <w:t xml:space="preserve"> </w:t>
      </w:r>
      <w:bookmarkStart w:id="2" w:name="_Hlk153443455"/>
      <w:r w:rsidRPr="00EA15D8">
        <w:rPr>
          <w:b/>
          <w:szCs w:val="24"/>
        </w:rPr>
        <w:t xml:space="preserve">ACUERDO NÚMERO </w:t>
      </w:r>
      <w:r>
        <w:rPr>
          <w:b/>
          <w:szCs w:val="24"/>
        </w:rPr>
        <w:t>TRES</w:t>
      </w:r>
      <w:r w:rsidRPr="00EA15D8">
        <w:rPr>
          <w:szCs w:val="24"/>
        </w:rPr>
        <w:t>.</w:t>
      </w:r>
      <w:r>
        <w:rPr>
          <w:szCs w:val="24"/>
        </w:rPr>
        <w:t xml:space="preserve"> Vista las dos Ofertas presentadas por las empresas y con base a la actualización del lineamiento 3.12 de la DINAC, para el proceso: </w:t>
      </w:r>
      <w:r w:rsidRPr="00380337">
        <w:rPr>
          <w:b/>
          <w:bCs/>
          <w:szCs w:val="24"/>
        </w:rPr>
        <w:t>Contratación de Banquete buffet todo incluido con sonido, discomóvil y animación junto con espacio para eventos, para celebración de la cena navideña de empleados de la Municipalidad</w:t>
      </w:r>
      <w:r>
        <w:rPr>
          <w:b/>
          <w:bCs/>
          <w:szCs w:val="24"/>
        </w:rPr>
        <w:t xml:space="preserve"> de Guazapa, proceso número 8606-2023- P0065, </w:t>
      </w:r>
      <w:r w:rsidRPr="00262E93">
        <w:rPr>
          <w:szCs w:val="24"/>
        </w:rPr>
        <w:t xml:space="preserve">por el método de contratación </w:t>
      </w:r>
      <w:r>
        <w:rPr>
          <w:szCs w:val="24"/>
        </w:rPr>
        <w:t xml:space="preserve">de comparación de precios según lo estipulado en el artículo 40 de la Ley de Compras Públicas,  las cuales son las siguientes empresas: </w:t>
      </w:r>
      <w:r w:rsidRPr="004455B9">
        <w:rPr>
          <w:b/>
          <w:bCs/>
          <w:szCs w:val="24"/>
        </w:rPr>
        <w:t>1)</w:t>
      </w:r>
      <w:r>
        <w:rPr>
          <w:szCs w:val="24"/>
        </w:rPr>
        <w:t xml:space="preserve"> </w:t>
      </w:r>
      <w:r w:rsidRPr="00154A78">
        <w:rPr>
          <w:b/>
          <w:szCs w:val="24"/>
          <w:highlight w:val="black"/>
        </w:rPr>
        <w:t>XXXXXXXXXXXX</w:t>
      </w:r>
      <w:r>
        <w:rPr>
          <w:szCs w:val="24"/>
        </w:rPr>
        <w:t xml:space="preserve">, conteniendo completos los formularios establecidos por la DINAC, y ofertando únicamente las 88 cenas se recibió dentro del plazo establecido en el plan de implementación del proceso el cual está plasmado en el sistema de COMPRASAL, con una oferta por el monto de: $1,584.00 dólares de los Estados Unidos de </w:t>
      </w:r>
      <w:proofErr w:type="spellStart"/>
      <w:r>
        <w:rPr>
          <w:szCs w:val="24"/>
        </w:rPr>
        <w:t>America</w:t>
      </w:r>
      <w:proofErr w:type="spellEnd"/>
      <w:r>
        <w:rPr>
          <w:szCs w:val="24"/>
        </w:rPr>
        <w:t xml:space="preserve">, </w:t>
      </w:r>
      <w:r w:rsidRPr="004D628C">
        <w:rPr>
          <w:b/>
          <w:bCs/>
          <w:szCs w:val="24"/>
        </w:rPr>
        <w:t>2)</w:t>
      </w:r>
      <w:r>
        <w:rPr>
          <w:b/>
          <w:bCs/>
          <w:szCs w:val="24"/>
        </w:rPr>
        <w:t xml:space="preserve"> </w:t>
      </w:r>
      <w:r w:rsidRPr="00154A78">
        <w:rPr>
          <w:b/>
          <w:szCs w:val="24"/>
          <w:highlight w:val="black"/>
        </w:rPr>
        <w:t>XXXXXXXXXXXX</w:t>
      </w:r>
      <w:r>
        <w:rPr>
          <w:szCs w:val="24"/>
        </w:rPr>
        <w:t xml:space="preserve">, </w:t>
      </w:r>
      <w:r>
        <w:rPr>
          <w:szCs w:val="24"/>
        </w:rPr>
        <w:lastRenderedPageBreak/>
        <w:t xml:space="preserve">conteniendo completos los formularios establecidos por la DINAC, y siendo recibida dentro del plazo establecido en el plan de implementación del proceso el cual está plasmado en el sistema de COMPRASAL,  con una oferta por el monto de: $4,056.08 dólares de los Estados Unidos de </w:t>
      </w:r>
      <w:proofErr w:type="spellStart"/>
      <w:r>
        <w:rPr>
          <w:szCs w:val="24"/>
        </w:rPr>
        <w:t>America</w:t>
      </w:r>
      <w:proofErr w:type="spellEnd"/>
      <w:r>
        <w:rPr>
          <w:szCs w:val="24"/>
        </w:rPr>
        <w:t xml:space="preserve">, la oferta ofrece 88 cenas con refil de bebida natural, más postre con café tipo americano, servicio de DJ y sonido, en las instalaciones del restaurante, la oferta cumple con los solicitado en el documento de solicitud y requerimiento. </w:t>
      </w:r>
      <w:r w:rsidRPr="00E076D8">
        <w:rPr>
          <w:b/>
          <w:bCs/>
          <w:szCs w:val="24"/>
        </w:rPr>
        <w:t>Justificación</w:t>
      </w:r>
      <w:r>
        <w:rPr>
          <w:szCs w:val="24"/>
        </w:rPr>
        <w:t xml:space="preserve">. Una de las ofertas solo ofrece la alimentación, el cual no cumple porque no oferta todo lo requerido en el documento de solicitud, y el otro oferente ofrece todo o requerido en el documento de solicitud, por lo que el Panel Evaluador de Ofertas </w:t>
      </w:r>
      <w:r w:rsidRPr="001274DE">
        <w:rPr>
          <w:b/>
          <w:bCs/>
          <w:szCs w:val="24"/>
        </w:rPr>
        <w:t xml:space="preserve">recomienda </w:t>
      </w:r>
      <w:r w:rsidRPr="001274DE">
        <w:rPr>
          <w:szCs w:val="24"/>
        </w:rPr>
        <w:t>en base al artículo</w:t>
      </w:r>
      <w:r>
        <w:rPr>
          <w:b/>
          <w:bCs/>
          <w:szCs w:val="24"/>
        </w:rPr>
        <w:t xml:space="preserve"> </w:t>
      </w:r>
      <w:r w:rsidRPr="001274DE">
        <w:rPr>
          <w:szCs w:val="24"/>
        </w:rPr>
        <w:t>40 de la Ley de Compras Públicas</w:t>
      </w:r>
      <w:r>
        <w:rPr>
          <w:szCs w:val="24"/>
        </w:rPr>
        <w:t xml:space="preserve">, adquirir el servicio completo que ofrece el oferente </w:t>
      </w:r>
      <w:r w:rsidRPr="00154A78">
        <w:rPr>
          <w:b/>
          <w:szCs w:val="24"/>
          <w:highlight w:val="black"/>
        </w:rPr>
        <w:t>XXXXXXXXXXXX</w:t>
      </w:r>
      <w:r w:rsidRPr="00B54154">
        <w:rPr>
          <w:b/>
          <w:bCs/>
          <w:szCs w:val="24"/>
        </w:rPr>
        <w:t>,</w:t>
      </w:r>
      <w:r>
        <w:rPr>
          <w:b/>
          <w:bCs/>
          <w:szCs w:val="24"/>
        </w:rPr>
        <w:t xml:space="preserve"> </w:t>
      </w:r>
      <w:r>
        <w:rPr>
          <w:szCs w:val="24"/>
        </w:rPr>
        <w:t>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el oferente ofrece todo lo requerido en el documento de solicitud, Por lo tanto, de forma unánime. </w:t>
      </w:r>
      <w:r w:rsidRPr="00556963">
        <w:rPr>
          <w:b/>
          <w:bCs/>
          <w:szCs w:val="24"/>
        </w:rPr>
        <w:t>ACUERDA</w:t>
      </w:r>
      <w:r w:rsidRPr="00583180">
        <w:rPr>
          <w:b/>
          <w:bCs/>
          <w:szCs w:val="24"/>
        </w:rPr>
        <w:t>:</w:t>
      </w:r>
      <w:r>
        <w:rPr>
          <w:b/>
          <w:bCs/>
          <w:szCs w:val="24"/>
        </w:rPr>
        <w:t xml:space="preserve"> </w:t>
      </w:r>
      <w:r w:rsidRPr="00363818">
        <w:rPr>
          <w:szCs w:val="24"/>
        </w:rPr>
        <w:t>Adjudicar a la empresa</w:t>
      </w:r>
      <w:r>
        <w:rPr>
          <w:b/>
          <w:bCs/>
          <w:szCs w:val="24"/>
        </w:rPr>
        <w:t xml:space="preserve"> </w:t>
      </w:r>
      <w:r w:rsidRPr="00154A78">
        <w:rPr>
          <w:b/>
          <w:szCs w:val="24"/>
          <w:highlight w:val="black"/>
        </w:rPr>
        <w:t>XXXXXXXXXXXX</w:t>
      </w:r>
      <w:r>
        <w:rPr>
          <w:szCs w:val="24"/>
        </w:rPr>
        <w:t xml:space="preserve"> </w:t>
      </w:r>
      <w:r>
        <w:rPr>
          <w:szCs w:val="24"/>
        </w:rPr>
        <w:t xml:space="preserve">conteniendo completos los formularios establecidos por la DINAC, y siendo recibida dentro del plazo establecido en el plan de implementación del proceso el cual está plasmado en el sistema de COMPRASAL, y ofrece todo lo requerido en el documento de solicitud, con una oferta por el monto de: $4,056.08 dólares de los Estados Unidos de </w:t>
      </w:r>
      <w:proofErr w:type="spellStart"/>
      <w:r>
        <w:rPr>
          <w:szCs w:val="24"/>
        </w:rPr>
        <w:t>America</w:t>
      </w:r>
      <w:proofErr w:type="spellEnd"/>
      <w:r>
        <w:rPr>
          <w:szCs w:val="24"/>
        </w:rPr>
        <w:t xml:space="preserve">, para la </w:t>
      </w:r>
      <w:r w:rsidRPr="00380337">
        <w:rPr>
          <w:b/>
          <w:bCs/>
          <w:szCs w:val="24"/>
        </w:rPr>
        <w:t>Contratación de Banquete buffet todo incluido con sonido, discomóvil y animación junto con espacio para eventos, para celebración de la cena navideña de empleados de la Municipalidad</w:t>
      </w:r>
      <w:r>
        <w:rPr>
          <w:b/>
          <w:bCs/>
          <w:szCs w:val="24"/>
        </w:rPr>
        <w:t xml:space="preserve"> de Guazapa, proceso número 8606-2023- P0065, </w:t>
      </w:r>
      <w:r>
        <w:rPr>
          <w:szCs w:val="24"/>
        </w:rPr>
        <w:t xml:space="preserve">Se autoriza a la jefa UCP, realizar el proceso correspondiente de compra y a la tesorera Municipal realizar el pago del programa: </w:t>
      </w:r>
      <w:r w:rsidRPr="00312547">
        <w:rPr>
          <w:bCs/>
          <w:szCs w:val="24"/>
        </w:rPr>
        <w:t>Celebración de Actividades de fin de Año</w:t>
      </w:r>
      <w:r>
        <w:rPr>
          <w:bCs/>
          <w:szCs w:val="24"/>
        </w:rPr>
        <w:t>.</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w:t>
      </w:r>
      <w:bookmarkEnd w:id="2"/>
      <w:r>
        <w:rPr>
          <w:b/>
          <w:bCs/>
          <w:szCs w:val="24"/>
        </w:rPr>
        <w:t xml:space="preserve"> </w:t>
      </w:r>
      <w:bookmarkStart w:id="3" w:name="_Hlk153443698"/>
      <w:r w:rsidRPr="00EA15D8">
        <w:rPr>
          <w:b/>
          <w:szCs w:val="24"/>
        </w:rPr>
        <w:t xml:space="preserve">ACUERDO NÚMERO </w:t>
      </w:r>
      <w:r>
        <w:rPr>
          <w:b/>
          <w:szCs w:val="24"/>
        </w:rPr>
        <w:t>CUATRO</w:t>
      </w:r>
      <w:r w:rsidRPr="00EA15D8">
        <w:rPr>
          <w:szCs w:val="24"/>
        </w:rPr>
        <w:t>.</w:t>
      </w:r>
      <w:r>
        <w:rPr>
          <w:szCs w:val="24"/>
        </w:rPr>
        <w:t xml:space="preserve"> Vista las tres Ofertas presentadas por las empresas para el proceso: </w:t>
      </w:r>
      <w:r w:rsidRPr="00602952">
        <w:rPr>
          <w:b/>
          <w:bCs/>
          <w:szCs w:val="24"/>
        </w:rPr>
        <w:t xml:space="preserve">compra de combos para niños </w:t>
      </w:r>
      <w:r>
        <w:rPr>
          <w:b/>
          <w:bCs/>
          <w:szCs w:val="24"/>
        </w:rPr>
        <w:t xml:space="preserve">para la celebración navideña de hijos de empleados de la Municipalidad de Guazapa, numero de proceso 8606- 2023-P0072 </w:t>
      </w:r>
      <w:r w:rsidRPr="00262E93">
        <w:rPr>
          <w:szCs w:val="24"/>
        </w:rPr>
        <w:t xml:space="preserve">por el método de contratación </w:t>
      </w:r>
      <w:r>
        <w:rPr>
          <w:szCs w:val="24"/>
        </w:rPr>
        <w:t xml:space="preserve">de comparación de precios según lo estipulado en el artículo 40 de la Ley de Compras Públicas, las cuales son las siguientes empresas: 1) </w:t>
      </w:r>
      <w:r w:rsidRPr="00154A78">
        <w:rPr>
          <w:b/>
          <w:szCs w:val="24"/>
          <w:highlight w:val="black"/>
        </w:rPr>
        <w:t>XXXXXXXXXXXX</w:t>
      </w:r>
      <w:r>
        <w:rPr>
          <w:szCs w:val="24"/>
        </w:rPr>
        <w:t xml:space="preserve">, conteniendo incompletos los formularios establecidos por la DINAC, se recibió dentro del plazo de implementación del proceso, el cual </w:t>
      </w:r>
      <w:proofErr w:type="spellStart"/>
      <w:r>
        <w:rPr>
          <w:szCs w:val="24"/>
        </w:rPr>
        <w:t>esta</w:t>
      </w:r>
      <w:proofErr w:type="spellEnd"/>
      <w:r>
        <w:rPr>
          <w:szCs w:val="24"/>
        </w:rPr>
        <w:t xml:space="preserve"> plasmado en el sistema de COMPRASAL, con una oferta de: $950.00 dólares de los Estados Unidos de </w:t>
      </w:r>
      <w:proofErr w:type="spellStart"/>
      <w:r>
        <w:rPr>
          <w:szCs w:val="24"/>
        </w:rPr>
        <w:t>America</w:t>
      </w:r>
      <w:proofErr w:type="spellEnd"/>
      <w:r>
        <w:rPr>
          <w:szCs w:val="24"/>
        </w:rPr>
        <w:t xml:space="preserve">, según  los criterios en el documento de solicitud para: </w:t>
      </w:r>
      <w:r w:rsidRPr="00602952">
        <w:rPr>
          <w:b/>
          <w:bCs/>
          <w:szCs w:val="24"/>
        </w:rPr>
        <w:t xml:space="preserve">compra de combos para niños </w:t>
      </w:r>
      <w:r>
        <w:rPr>
          <w:b/>
          <w:bCs/>
          <w:szCs w:val="24"/>
        </w:rPr>
        <w:t xml:space="preserve">para la celebración navideña de hijos de empleados de la Municipalidad de Guazapa, </w:t>
      </w:r>
      <w:r w:rsidRPr="00DB5531">
        <w:rPr>
          <w:szCs w:val="24"/>
        </w:rPr>
        <w:t xml:space="preserve">la oferta presentada se encuentra </w:t>
      </w:r>
      <w:r>
        <w:rPr>
          <w:szCs w:val="24"/>
        </w:rPr>
        <w:t>dentro</w:t>
      </w:r>
      <w:r w:rsidRPr="00DB5531">
        <w:rPr>
          <w:szCs w:val="24"/>
        </w:rPr>
        <w:t xml:space="preserve"> del parámetro</w:t>
      </w:r>
      <w:r>
        <w:rPr>
          <w:szCs w:val="24"/>
        </w:rPr>
        <w:t xml:space="preserve"> establecido y el costo es razonable dentro del mercado. 2) </w:t>
      </w:r>
      <w:r w:rsidRPr="00154A78">
        <w:rPr>
          <w:b/>
          <w:szCs w:val="24"/>
          <w:highlight w:val="black"/>
        </w:rPr>
        <w:t>XXXXXXXXXXXX</w:t>
      </w:r>
      <w:r>
        <w:rPr>
          <w:szCs w:val="24"/>
        </w:rPr>
        <w:t xml:space="preserve"> </w:t>
      </w:r>
      <w:r>
        <w:rPr>
          <w:szCs w:val="24"/>
        </w:rPr>
        <w:t xml:space="preserve">conteniendo completos los formularios establecidos por la DINAC, se recibió dentro del plazo de implementación del proceso, el cual está plasmado en el sistema de COMPRASAL, con una oferta de: $846.00 dólares de los Estados Unidos de </w:t>
      </w:r>
      <w:proofErr w:type="spellStart"/>
      <w:r>
        <w:rPr>
          <w:szCs w:val="24"/>
        </w:rPr>
        <w:t>America</w:t>
      </w:r>
      <w:proofErr w:type="spellEnd"/>
      <w:r>
        <w:rPr>
          <w:szCs w:val="24"/>
        </w:rPr>
        <w:t xml:space="preserve">, según los criterios en el documento de solicitud para: </w:t>
      </w:r>
      <w:r w:rsidRPr="00602952">
        <w:rPr>
          <w:b/>
          <w:bCs/>
          <w:szCs w:val="24"/>
        </w:rPr>
        <w:t xml:space="preserve">compra de combos para niños </w:t>
      </w:r>
      <w:r>
        <w:rPr>
          <w:b/>
          <w:bCs/>
          <w:szCs w:val="24"/>
        </w:rPr>
        <w:t xml:space="preserve">para la celebración navideña de hijos de empleados de la Municipalidad de Guazapa, </w:t>
      </w:r>
      <w:r w:rsidRPr="00DB5531">
        <w:rPr>
          <w:szCs w:val="24"/>
        </w:rPr>
        <w:t xml:space="preserve">la oferta presentada se encuentra </w:t>
      </w:r>
      <w:r>
        <w:rPr>
          <w:szCs w:val="24"/>
        </w:rPr>
        <w:t>dentro</w:t>
      </w:r>
      <w:r w:rsidRPr="00DB5531">
        <w:rPr>
          <w:szCs w:val="24"/>
        </w:rPr>
        <w:t xml:space="preserve"> del parámetro</w:t>
      </w:r>
      <w:r>
        <w:rPr>
          <w:szCs w:val="24"/>
        </w:rPr>
        <w:t xml:space="preserve"> establecido y el costo es razonable dentro del mercado. 3) </w:t>
      </w:r>
      <w:r w:rsidRPr="00154A78">
        <w:rPr>
          <w:b/>
          <w:szCs w:val="24"/>
          <w:highlight w:val="black"/>
        </w:rPr>
        <w:t>XXXXXXXXXXXX</w:t>
      </w:r>
      <w:r>
        <w:rPr>
          <w:szCs w:val="24"/>
        </w:rPr>
        <w:t xml:space="preserve"> </w:t>
      </w:r>
      <w:r>
        <w:rPr>
          <w:szCs w:val="24"/>
        </w:rPr>
        <w:t xml:space="preserve">conteniendo  completos los formularios establecidos por la DINAC, se recibió dentro del plazo de implementación del proceso, el cual está plasmado en el sistema de COMPRASAL, con una oferta de: $873.00 dólares de los Estados Unidos de </w:t>
      </w:r>
      <w:proofErr w:type="spellStart"/>
      <w:r>
        <w:rPr>
          <w:szCs w:val="24"/>
        </w:rPr>
        <w:t>America</w:t>
      </w:r>
      <w:proofErr w:type="spellEnd"/>
      <w:r>
        <w:rPr>
          <w:szCs w:val="24"/>
        </w:rPr>
        <w:t xml:space="preserve">, según los criterios en el documento de solicitud para: </w:t>
      </w:r>
      <w:r w:rsidRPr="00602952">
        <w:rPr>
          <w:b/>
          <w:bCs/>
          <w:szCs w:val="24"/>
        </w:rPr>
        <w:t xml:space="preserve">compra de combos para niños </w:t>
      </w:r>
      <w:r>
        <w:rPr>
          <w:b/>
          <w:bCs/>
          <w:szCs w:val="24"/>
        </w:rPr>
        <w:t xml:space="preserve">para la celebración navideña de hijos de empleados de la Municipalidad de Guazapa, </w:t>
      </w:r>
      <w:r w:rsidRPr="00DB5531">
        <w:rPr>
          <w:szCs w:val="24"/>
        </w:rPr>
        <w:t xml:space="preserve">la oferta presentada se encuentra </w:t>
      </w:r>
      <w:r>
        <w:rPr>
          <w:szCs w:val="24"/>
        </w:rPr>
        <w:t>dentro</w:t>
      </w:r>
      <w:r w:rsidRPr="00DB5531">
        <w:rPr>
          <w:szCs w:val="24"/>
        </w:rPr>
        <w:t xml:space="preserve"> del parámetro</w:t>
      </w:r>
      <w:r>
        <w:rPr>
          <w:szCs w:val="24"/>
        </w:rPr>
        <w:t xml:space="preserve"> establecido y el costo es razonable dentro del mercado. </w:t>
      </w:r>
      <w:r w:rsidRPr="001C1389">
        <w:rPr>
          <w:b/>
          <w:bCs/>
          <w:szCs w:val="24"/>
        </w:rPr>
        <w:t>Justificación</w:t>
      </w:r>
      <w:r>
        <w:rPr>
          <w:szCs w:val="24"/>
        </w:rPr>
        <w:t xml:space="preserve"> dos de las ofertas recibidas, cumplen con los formularios establecidos por la DINAC, y con los productos solicitados en calidad y cantidad. Por lo que el Panel Evaluador de Ofertas recomienda con base al </w:t>
      </w:r>
      <w:proofErr w:type="spellStart"/>
      <w:r>
        <w:rPr>
          <w:szCs w:val="24"/>
        </w:rPr>
        <w:t>articulo</w:t>
      </w:r>
      <w:proofErr w:type="spellEnd"/>
      <w:r>
        <w:rPr>
          <w:szCs w:val="24"/>
        </w:rPr>
        <w:t xml:space="preserve"> 40 de la Ley de Compras Públicas a </w:t>
      </w:r>
      <w:r w:rsidRPr="00154A78">
        <w:rPr>
          <w:b/>
          <w:szCs w:val="24"/>
          <w:highlight w:val="black"/>
        </w:rPr>
        <w:t>XXXXXXXXXXXX</w:t>
      </w:r>
      <w:r w:rsidRPr="00B01C83">
        <w:rPr>
          <w:szCs w:val="24"/>
        </w:rPr>
        <w:t xml:space="preserve"> </w:t>
      </w:r>
      <w:r w:rsidRPr="00B01C83">
        <w:rPr>
          <w:szCs w:val="24"/>
        </w:rPr>
        <w:t xml:space="preserve">ya que cumple con todo </w:t>
      </w:r>
      <w:r>
        <w:rPr>
          <w:szCs w:val="24"/>
        </w:rPr>
        <w:t>lo establecido en el documento de solicitud. 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w:t>
      </w:r>
      <w:r>
        <w:rPr>
          <w:szCs w:val="24"/>
        </w:rPr>
        <w:lastRenderedPageBreak/>
        <w:t xml:space="preserve">verifico que el oferente ofrece todo lo requerido en el documento de solicitud, Por lo tanto, de forma unánime. </w:t>
      </w:r>
      <w:r w:rsidRPr="00556963">
        <w:rPr>
          <w:b/>
          <w:bCs/>
          <w:szCs w:val="24"/>
        </w:rPr>
        <w:t>ACUERDA</w:t>
      </w:r>
      <w:r w:rsidRPr="00583180">
        <w:rPr>
          <w:b/>
          <w:bCs/>
          <w:szCs w:val="24"/>
        </w:rPr>
        <w:t>:</w:t>
      </w:r>
      <w:r>
        <w:rPr>
          <w:b/>
          <w:bCs/>
          <w:szCs w:val="24"/>
        </w:rPr>
        <w:t xml:space="preserve"> </w:t>
      </w:r>
      <w:r w:rsidRPr="00363818">
        <w:rPr>
          <w:szCs w:val="24"/>
        </w:rPr>
        <w:t>Adjudicar a la empresa</w:t>
      </w:r>
      <w:r>
        <w:rPr>
          <w:szCs w:val="24"/>
        </w:rPr>
        <w:t xml:space="preserve"> </w:t>
      </w:r>
      <w:r w:rsidRPr="00154A78">
        <w:rPr>
          <w:b/>
          <w:szCs w:val="24"/>
          <w:highlight w:val="black"/>
        </w:rPr>
        <w:t>XXXXXXXXXXXX</w:t>
      </w:r>
      <w:r>
        <w:rPr>
          <w:szCs w:val="24"/>
        </w:rPr>
        <w:t xml:space="preserve"> </w:t>
      </w:r>
      <w:r>
        <w:rPr>
          <w:szCs w:val="24"/>
        </w:rPr>
        <w:t xml:space="preserve">por contener completos los formularios establecidos por la DINAC, la oferta se recibió dentro del plazo de implementación del proceso, el cual está plasmado en el sistema de COMPRASAL, con una oferta de: $873.00 dólares de los Estados Unidos de </w:t>
      </w:r>
      <w:proofErr w:type="spellStart"/>
      <w:r>
        <w:rPr>
          <w:szCs w:val="24"/>
        </w:rPr>
        <w:t>America</w:t>
      </w:r>
      <w:proofErr w:type="spellEnd"/>
      <w:r>
        <w:rPr>
          <w:szCs w:val="24"/>
        </w:rPr>
        <w:t xml:space="preserve">, por considerar que cumple con todo lo requerido documento de solicitud para: </w:t>
      </w:r>
      <w:r w:rsidRPr="00602952">
        <w:rPr>
          <w:b/>
          <w:bCs/>
          <w:szCs w:val="24"/>
        </w:rPr>
        <w:t xml:space="preserve">compra de combos para niños </w:t>
      </w:r>
      <w:r>
        <w:rPr>
          <w:b/>
          <w:bCs/>
          <w:szCs w:val="24"/>
        </w:rPr>
        <w:t xml:space="preserve">para la celebración navideña de hijos de empleados de la Municipalidad de Guazapa, </w:t>
      </w:r>
      <w:r w:rsidRPr="00DB5531">
        <w:rPr>
          <w:szCs w:val="24"/>
        </w:rPr>
        <w:t xml:space="preserve">la oferta presentada se encuentra </w:t>
      </w:r>
      <w:r>
        <w:rPr>
          <w:szCs w:val="24"/>
        </w:rPr>
        <w:t>dentro</w:t>
      </w:r>
      <w:r w:rsidRPr="00DB5531">
        <w:rPr>
          <w:szCs w:val="24"/>
        </w:rPr>
        <w:t xml:space="preserve"> del parámetro</w:t>
      </w:r>
      <w:r>
        <w:rPr>
          <w:szCs w:val="24"/>
        </w:rPr>
        <w:t xml:space="preserve"> establecido y el costo es razonable dentro del mercado los productos ofertados son de mejor calidad. Se autoriza a la jefa UCP, realizar el proceso correspondiente de compra y a la tesorera Municipal realizar el pago del programa: </w:t>
      </w:r>
      <w:r w:rsidRPr="00312547">
        <w:rPr>
          <w:bCs/>
          <w:szCs w:val="24"/>
        </w:rPr>
        <w:t>Celebración de Actividades de fin de Año</w:t>
      </w:r>
      <w:r>
        <w:rPr>
          <w:bCs/>
          <w:szCs w:val="24"/>
        </w:rPr>
        <w:t>.</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w:t>
      </w:r>
      <w:bookmarkEnd w:id="3"/>
      <w:r>
        <w:rPr>
          <w:b/>
          <w:bCs/>
          <w:szCs w:val="24"/>
        </w:rPr>
        <w:t xml:space="preserve"> </w:t>
      </w:r>
      <w:bookmarkStart w:id="4" w:name="_Hlk153443910"/>
      <w:r w:rsidRPr="000B013B">
        <w:rPr>
          <w:b/>
          <w:szCs w:val="24"/>
        </w:rPr>
        <w:t xml:space="preserve">ACUERDO NÚMERO </w:t>
      </w:r>
      <w:r>
        <w:rPr>
          <w:b/>
          <w:szCs w:val="24"/>
        </w:rPr>
        <w:t>CINCO</w:t>
      </w:r>
      <w:r w:rsidRPr="000B013B">
        <w:rPr>
          <w:b/>
          <w:szCs w:val="24"/>
        </w:rPr>
        <w:t>.</w:t>
      </w:r>
      <w:r>
        <w:rPr>
          <w:b/>
          <w:szCs w:val="24"/>
        </w:rPr>
        <w:t xml:space="preserve"> </w:t>
      </w:r>
      <w:r w:rsidRPr="00C63316">
        <w:rPr>
          <w:bCs/>
          <w:szCs w:val="24"/>
        </w:rPr>
        <w:t xml:space="preserve">Vistas las </w:t>
      </w:r>
      <w:r>
        <w:rPr>
          <w:bCs/>
          <w:szCs w:val="24"/>
        </w:rPr>
        <w:t>tres</w:t>
      </w:r>
      <w:r w:rsidRPr="00C63316">
        <w:rPr>
          <w:bCs/>
          <w:szCs w:val="24"/>
        </w:rPr>
        <w:t xml:space="preserve"> ofertas</w:t>
      </w:r>
      <w:r>
        <w:rPr>
          <w:b/>
          <w:szCs w:val="24"/>
        </w:rPr>
        <w:t xml:space="preserve"> </w:t>
      </w:r>
      <w:r>
        <w:rPr>
          <w:bCs/>
          <w:szCs w:val="24"/>
        </w:rPr>
        <w:t xml:space="preserve">presentadas por las empresas para la: </w:t>
      </w:r>
      <w:r>
        <w:rPr>
          <w:b/>
          <w:szCs w:val="24"/>
        </w:rPr>
        <w:t xml:space="preserve">compra de materiales para proyecto </w:t>
      </w:r>
      <w:proofErr w:type="spellStart"/>
      <w:r>
        <w:rPr>
          <w:b/>
          <w:szCs w:val="24"/>
        </w:rPr>
        <w:t>Taberinto</w:t>
      </w:r>
      <w:proofErr w:type="spellEnd"/>
      <w:r w:rsidRPr="00C63316">
        <w:rPr>
          <w:b/>
          <w:szCs w:val="24"/>
        </w:rPr>
        <w:t>, proceso número 860</w:t>
      </w:r>
      <w:r>
        <w:rPr>
          <w:b/>
          <w:szCs w:val="24"/>
        </w:rPr>
        <w:t>6</w:t>
      </w:r>
      <w:r w:rsidRPr="00C63316">
        <w:rPr>
          <w:b/>
          <w:szCs w:val="24"/>
        </w:rPr>
        <w:t>-2023-P</w:t>
      </w:r>
      <w:r>
        <w:rPr>
          <w:b/>
          <w:szCs w:val="24"/>
        </w:rPr>
        <w:t xml:space="preserve">0061, </w:t>
      </w:r>
      <w:r>
        <w:rPr>
          <w:bCs/>
          <w:szCs w:val="24"/>
        </w:rPr>
        <w:t xml:space="preserve">por el método de comparación de precios según lo estipulado en el artículo 40 de la Ley de Compras Públicas, las cuales son las siguientes: </w:t>
      </w:r>
      <w:r w:rsidRPr="00860F14">
        <w:rPr>
          <w:b/>
          <w:szCs w:val="24"/>
        </w:rPr>
        <w:t>1)</w:t>
      </w:r>
      <w:r>
        <w:rPr>
          <w:b/>
          <w:szCs w:val="24"/>
        </w:rPr>
        <w:t xml:space="preserve"> </w:t>
      </w:r>
      <w:r w:rsidRPr="00154A78">
        <w:rPr>
          <w:b/>
          <w:szCs w:val="24"/>
          <w:highlight w:val="black"/>
        </w:rPr>
        <w:t>XXXXXXXXXXXX</w:t>
      </w:r>
      <w:r>
        <w:rPr>
          <w:b/>
          <w:szCs w:val="24"/>
        </w:rPr>
        <w:t xml:space="preserve">, </w:t>
      </w:r>
      <w:r>
        <w:rPr>
          <w:szCs w:val="24"/>
        </w:rPr>
        <w:t xml:space="preserve">conteniendo completos los formularios establecidos por la DINAC, se recibió dentro del plazo de implementación del proceso, con una oferta de: $15,847.45 dólares de los Estados Unidos de </w:t>
      </w:r>
      <w:proofErr w:type="spellStart"/>
      <w:r>
        <w:rPr>
          <w:szCs w:val="24"/>
        </w:rPr>
        <w:t>America</w:t>
      </w:r>
      <w:proofErr w:type="spellEnd"/>
      <w:r>
        <w:rPr>
          <w:szCs w:val="24"/>
        </w:rPr>
        <w:t xml:space="preserve">, al revisar la oferta, se observó que presenta una diferencia de $0.26 centavos de dólar, en relación con el total calculado por el Panel, </w:t>
      </w:r>
      <w:r>
        <w:rPr>
          <w:b/>
          <w:szCs w:val="24"/>
        </w:rPr>
        <w:t>2</w:t>
      </w:r>
      <w:r w:rsidRPr="00860F14">
        <w:rPr>
          <w:b/>
          <w:szCs w:val="24"/>
        </w:rPr>
        <w:t>)</w:t>
      </w:r>
      <w:r>
        <w:rPr>
          <w:b/>
          <w:szCs w:val="24"/>
        </w:rPr>
        <w:t xml:space="preserve"> </w:t>
      </w:r>
      <w:r w:rsidRPr="00154A78">
        <w:rPr>
          <w:b/>
          <w:szCs w:val="24"/>
          <w:highlight w:val="black"/>
        </w:rPr>
        <w:t>XXXXXXXXXXXX</w:t>
      </w:r>
      <w:r>
        <w:rPr>
          <w:szCs w:val="24"/>
        </w:rPr>
        <w:t xml:space="preserve"> </w:t>
      </w:r>
      <w:r>
        <w:rPr>
          <w:szCs w:val="24"/>
        </w:rPr>
        <w:t xml:space="preserve">conteniendo completos los formularios establecidos por la DINAC, se recibió dentro del plazo de implementación del proceso, con una oferta de: $12,121.65 dólares de los Estados Unidos de </w:t>
      </w:r>
      <w:proofErr w:type="spellStart"/>
      <w:r>
        <w:rPr>
          <w:szCs w:val="24"/>
        </w:rPr>
        <w:t>America</w:t>
      </w:r>
      <w:proofErr w:type="spellEnd"/>
      <w:r>
        <w:rPr>
          <w:szCs w:val="24"/>
        </w:rPr>
        <w:t xml:space="preserve">, al revisar la oferta se verifico que no oferto los ítems 4, 16 y 17 de lo requerido. </w:t>
      </w:r>
      <w:r>
        <w:rPr>
          <w:b/>
          <w:szCs w:val="24"/>
        </w:rPr>
        <w:t>3</w:t>
      </w:r>
      <w:r w:rsidRPr="00860F14">
        <w:rPr>
          <w:b/>
          <w:szCs w:val="24"/>
        </w:rPr>
        <w:t>)</w:t>
      </w:r>
      <w:r>
        <w:rPr>
          <w:b/>
          <w:szCs w:val="24"/>
        </w:rPr>
        <w:t xml:space="preserve"> </w:t>
      </w:r>
      <w:r w:rsidRPr="00154A78">
        <w:rPr>
          <w:b/>
          <w:szCs w:val="24"/>
          <w:highlight w:val="black"/>
        </w:rPr>
        <w:t>XXXXXXXXXXXX</w:t>
      </w:r>
      <w:r>
        <w:rPr>
          <w:b/>
          <w:szCs w:val="24"/>
        </w:rPr>
        <w:t xml:space="preserve">, </w:t>
      </w:r>
      <w:r>
        <w:rPr>
          <w:szCs w:val="24"/>
        </w:rPr>
        <w:t xml:space="preserve">conteniendo completos los formularios establecidos por la DINAC, se recibió dentro del plazo de implementación del proceso, con una oferta de: $10,485.00 dólares de los Estados Unidos de </w:t>
      </w:r>
      <w:proofErr w:type="spellStart"/>
      <w:r>
        <w:rPr>
          <w:szCs w:val="24"/>
        </w:rPr>
        <w:t>America</w:t>
      </w:r>
      <w:proofErr w:type="spellEnd"/>
      <w:r>
        <w:rPr>
          <w:szCs w:val="24"/>
        </w:rPr>
        <w:t xml:space="preserve">, al revisar la oferta, del oferente se observó que en el ítem 13 correspondiente a las esponjas se requerían quince y ofertaron 14. </w:t>
      </w:r>
      <w:r w:rsidRPr="007D7B4F">
        <w:rPr>
          <w:b/>
          <w:szCs w:val="24"/>
        </w:rPr>
        <w:t>Justificación</w:t>
      </w:r>
      <w:r>
        <w:rPr>
          <w:b/>
          <w:szCs w:val="24"/>
        </w:rPr>
        <w:t xml:space="preserve"> </w:t>
      </w:r>
      <w:r w:rsidRPr="00E54581">
        <w:rPr>
          <w:bCs/>
          <w:szCs w:val="24"/>
        </w:rPr>
        <w:t>que las tres ofertas recibidas</w:t>
      </w:r>
      <w:r>
        <w:rPr>
          <w:bCs/>
          <w:szCs w:val="24"/>
        </w:rPr>
        <w:t xml:space="preserve"> cumplen con los formularios establecidos por la DINAC, por lo que el Panel Evaluador de Ofertas habiendo verificado cada oferta en cuanto a calidad y precio, recomienda en base al artículo 40 de la Ley de Compras Públicas, lo siguiente: adquirir de los tres oferentes por ítems asignando los ítems de la siguiente manera: oferente </w:t>
      </w:r>
      <w:r w:rsidRPr="0065227B">
        <w:rPr>
          <w:b/>
          <w:szCs w:val="24"/>
        </w:rPr>
        <w:t>1)</w:t>
      </w:r>
      <w:r>
        <w:rPr>
          <w:b/>
          <w:szCs w:val="24"/>
        </w:rPr>
        <w:t xml:space="preserve"> </w:t>
      </w:r>
      <w:bookmarkStart w:id="5" w:name="_Hlk153200967"/>
      <w:r w:rsidRPr="00154A78">
        <w:rPr>
          <w:b/>
          <w:szCs w:val="24"/>
          <w:highlight w:val="black"/>
        </w:rPr>
        <w:t>XXXXXXXXXXXX</w:t>
      </w:r>
      <w:r>
        <w:rPr>
          <w:b/>
          <w:szCs w:val="24"/>
        </w:rPr>
        <w:t xml:space="preserve">, </w:t>
      </w:r>
      <w:r w:rsidRPr="00F726D6">
        <w:rPr>
          <w:bCs/>
          <w:szCs w:val="24"/>
        </w:rPr>
        <w:t>el</w:t>
      </w:r>
      <w:r w:rsidRPr="001563BF">
        <w:rPr>
          <w:bCs/>
          <w:szCs w:val="24"/>
        </w:rPr>
        <w:t xml:space="preserve"> ítem 2 correspondiente </w:t>
      </w:r>
      <w:bookmarkEnd w:id="5"/>
      <w:r w:rsidRPr="001563BF">
        <w:rPr>
          <w:bCs/>
          <w:szCs w:val="24"/>
        </w:rPr>
        <w:t>a</w:t>
      </w:r>
      <w:r>
        <w:rPr>
          <w:bCs/>
          <w:szCs w:val="24"/>
        </w:rPr>
        <w:t xml:space="preserve"> 8 reglas pacha de pino de 5 varas por un monto de: $ 31.20 dólares de los Estados Unidos de </w:t>
      </w:r>
      <w:proofErr w:type="spellStart"/>
      <w:r>
        <w:rPr>
          <w:bCs/>
          <w:szCs w:val="24"/>
        </w:rPr>
        <w:t>America</w:t>
      </w:r>
      <w:proofErr w:type="spellEnd"/>
      <w:r w:rsidRPr="001563BF">
        <w:rPr>
          <w:bCs/>
          <w:szCs w:val="24"/>
        </w:rPr>
        <w:t>,</w:t>
      </w:r>
      <w:r>
        <w:rPr>
          <w:bCs/>
          <w:szCs w:val="24"/>
        </w:rPr>
        <w:t xml:space="preserve"> el</w:t>
      </w:r>
      <w:r w:rsidRPr="001563BF">
        <w:rPr>
          <w:bCs/>
          <w:szCs w:val="24"/>
        </w:rPr>
        <w:t xml:space="preserve"> ítem </w:t>
      </w:r>
      <w:r>
        <w:rPr>
          <w:bCs/>
          <w:szCs w:val="24"/>
        </w:rPr>
        <w:t>4</w:t>
      </w:r>
      <w:r w:rsidRPr="001563BF">
        <w:rPr>
          <w:bCs/>
          <w:szCs w:val="24"/>
        </w:rPr>
        <w:t xml:space="preserve"> correspondiente </w:t>
      </w:r>
      <w:r>
        <w:rPr>
          <w:bCs/>
          <w:szCs w:val="24"/>
        </w:rPr>
        <w:t xml:space="preserve">a 10 bollos de cordel nylon, por el monto de: $13.50 dólares de los Estados Unidos de </w:t>
      </w:r>
      <w:proofErr w:type="spellStart"/>
      <w:r>
        <w:rPr>
          <w:bCs/>
          <w:szCs w:val="24"/>
        </w:rPr>
        <w:t>America</w:t>
      </w:r>
      <w:proofErr w:type="spellEnd"/>
      <w:r w:rsidRPr="001563BF">
        <w:rPr>
          <w:bCs/>
          <w:szCs w:val="24"/>
        </w:rPr>
        <w:t>,</w:t>
      </w:r>
      <w:r>
        <w:rPr>
          <w:bCs/>
          <w:szCs w:val="24"/>
        </w:rPr>
        <w:t xml:space="preserve"> </w:t>
      </w:r>
      <w:r w:rsidRPr="001563BF">
        <w:rPr>
          <w:bCs/>
          <w:szCs w:val="24"/>
        </w:rPr>
        <w:t xml:space="preserve">y </w:t>
      </w:r>
      <w:r>
        <w:rPr>
          <w:bCs/>
          <w:szCs w:val="24"/>
        </w:rPr>
        <w:t xml:space="preserve">el ítem </w:t>
      </w:r>
      <w:r w:rsidRPr="001563BF">
        <w:rPr>
          <w:bCs/>
          <w:szCs w:val="24"/>
        </w:rPr>
        <w:t>14</w:t>
      </w:r>
      <w:r>
        <w:rPr>
          <w:bCs/>
          <w:szCs w:val="24"/>
        </w:rPr>
        <w:t xml:space="preserve"> </w:t>
      </w:r>
      <w:r w:rsidRPr="001563BF">
        <w:rPr>
          <w:bCs/>
          <w:szCs w:val="24"/>
        </w:rPr>
        <w:t>correspondiente a</w:t>
      </w:r>
      <w:r>
        <w:rPr>
          <w:bCs/>
          <w:szCs w:val="24"/>
        </w:rPr>
        <w:t xml:space="preserve"> 36 tablas de pino de 5 varas por el monto de: $675.00 dólares de los Estados Unidos de </w:t>
      </w:r>
      <w:proofErr w:type="spellStart"/>
      <w:r>
        <w:rPr>
          <w:bCs/>
          <w:szCs w:val="24"/>
        </w:rPr>
        <w:t>America</w:t>
      </w:r>
      <w:proofErr w:type="spellEnd"/>
      <w:r w:rsidRPr="001563BF">
        <w:rPr>
          <w:bCs/>
          <w:szCs w:val="24"/>
        </w:rPr>
        <w:t>,</w:t>
      </w:r>
      <w:r>
        <w:rPr>
          <w:bCs/>
          <w:szCs w:val="24"/>
        </w:rPr>
        <w:t xml:space="preserve"> por un monto total de: $719.70 dólares de los Estados Unidos de </w:t>
      </w:r>
      <w:proofErr w:type="spellStart"/>
      <w:r>
        <w:rPr>
          <w:bCs/>
          <w:szCs w:val="24"/>
        </w:rPr>
        <w:t>America</w:t>
      </w:r>
      <w:proofErr w:type="spellEnd"/>
      <w:r w:rsidRPr="001563BF">
        <w:rPr>
          <w:bCs/>
          <w:szCs w:val="24"/>
        </w:rPr>
        <w:t>,</w:t>
      </w:r>
      <w:r>
        <w:rPr>
          <w:bCs/>
          <w:szCs w:val="24"/>
        </w:rPr>
        <w:t xml:space="preserve"> oferente </w:t>
      </w:r>
      <w:r>
        <w:rPr>
          <w:b/>
          <w:szCs w:val="24"/>
        </w:rPr>
        <w:t>2</w:t>
      </w:r>
      <w:r w:rsidRPr="00154A78">
        <w:rPr>
          <w:b/>
          <w:szCs w:val="24"/>
          <w:highlight w:val="black"/>
        </w:rPr>
        <w:t xml:space="preserve"> </w:t>
      </w:r>
      <w:r w:rsidRPr="00154A78">
        <w:rPr>
          <w:b/>
          <w:szCs w:val="24"/>
          <w:highlight w:val="black"/>
        </w:rPr>
        <w:t>XXXXXXXXXXXX</w:t>
      </w:r>
      <w:r w:rsidRPr="00F726D6">
        <w:rPr>
          <w:bCs/>
          <w:szCs w:val="24"/>
        </w:rPr>
        <w:t xml:space="preserve"> </w:t>
      </w:r>
      <w:r w:rsidRPr="00F726D6">
        <w:rPr>
          <w:bCs/>
          <w:szCs w:val="24"/>
        </w:rPr>
        <w:t>los siguientes ítems</w:t>
      </w:r>
      <w:r>
        <w:rPr>
          <w:bCs/>
          <w:szCs w:val="24"/>
        </w:rPr>
        <w:t xml:space="preserve">: 5 correspondiente a 25 yardas de manguera transparente de ½ por un monto de: $14.75 dólares de los Estados Unidos de </w:t>
      </w:r>
      <w:proofErr w:type="spellStart"/>
      <w:r>
        <w:rPr>
          <w:bCs/>
          <w:szCs w:val="24"/>
        </w:rPr>
        <w:t>America</w:t>
      </w:r>
      <w:proofErr w:type="spellEnd"/>
      <w:r w:rsidRPr="001563BF">
        <w:rPr>
          <w:bCs/>
          <w:szCs w:val="24"/>
        </w:rPr>
        <w:t>,</w:t>
      </w:r>
      <w:r>
        <w:rPr>
          <w:bCs/>
          <w:szCs w:val="24"/>
        </w:rPr>
        <w:t xml:space="preserve"> ítem 6 correspondiente a 5 botes de pintura en espray por un monto de:  $10.65 dólares de los Estados Unidos de </w:t>
      </w:r>
      <w:proofErr w:type="spellStart"/>
      <w:r>
        <w:rPr>
          <w:bCs/>
          <w:szCs w:val="24"/>
        </w:rPr>
        <w:t>America</w:t>
      </w:r>
      <w:proofErr w:type="spellEnd"/>
      <w:r>
        <w:rPr>
          <w:bCs/>
          <w:szCs w:val="24"/>
        </w:rPr>
        <w:t xml:space="preserve">, ítem 7 correspondiente a 5 libras de clavos de 2.1/2 por el monto de: $4.40 dólares de los Estados Unidos de </w:t>
      </w:r>
      <w:proofErr w:type="spellStart"/>
      <w:r>
        <w:rPr>
          <w:bCs/>
          <w:szCs w:val="24"/>
        </w:rPr>
        <w:t>America</w:t>
      </w:r>
      <w:proofErr w:type="spellEnd"/>
      <w:r>
        <w:rPr>
          <w:bCs/>
          <w:szCs w:val="24"/>
        </w:rPr>
        <w:t xml:space="preserve">, ítem 8 correspondiente a 2 libras de clavos de 4” por un monto de: $1.76 dólares de los Estados Unidos de </w:t>
      </w:r>
      <w:proofErr w:type="spellStart"/>
      <w:r>
        <w:rPr>
          <w:bCs/>
          <w:szCs w:val="24"/>
        </w:rPr>
        <w:t>America</w:t>
      </w:r>
      <w:proofErr w:type="spellEnd"/>
      <w:r>
        <w:rPr>
          <w:bCs/>
          <w:szCs w:val="24"/>
        </w:rPr>
        <w:t xml:space="preserve">, ítem 9 correspondiente a 10 lápiz bicolor por un monto de:$1.80  dólares de los Estados Unidos de </w:t>
      </w:r>
      <w:proofErr w:type="spellStart"/>
      <w:r>
        <w:rPr>
          <w:bCs/>
          <w:szCs w:val="24"/>
        </w:rPr>
        <w:t>America</w:t>
      </w:r>
      <w:proofErr w:type="spellEnd"/>
      <w:r>
        <w:rPr>
          <w:bCs/>
          <w:szCs w:val="24"/>
        </w:rPr>
        <w:t xml:space="preserve">, ítem 13 correspondiente a 15 esponjas  por un monto de: $3.15 dólares de los Estados Unidos de </w:t>
      </w:r>
      <w:proofErr w:type="spellStart"/>
      <w:r>
        <w:rPr>
          <w:bCs/>
          <w:szCs w:val="24"/>
        </w:rPr>
        <w:t>America</w:t>
      </w:r>
      <w:proofErr w:type="spellEnd"/>
      <w:r>
        <w:rPr>
          <w:bCs/>
          <w:szCs w:val="24"/>
        </w:rPr>
        <w:t xml:space="preserve">, ítem 15 correspondiente a 25 libras de alambre de amarre  por un monto de: $22.00 dólares de los Estados Unidos de </w:t>
      </w:r>
      <w:proofErr w:type="spellStart"/>
      <w:r>
        <w:rPr>
          <w:bCs/>
          <w:szCs w:val="24"/>
        </w:rPr>
        <w:t>America</w:t>
      </w:r>
      <w:proofErr w:type="spellEnd"/>
      <w:r>
        <w:rPr>
          <w:bCs/>
          <w:szCs w:val="24"/>
        </w:rPr>
        <w:t xml:space="preserve">, ítem 18 correspondiente a 5 galones de pintura de tráfico color amarillo por un monto de: $234.95 dólares de los Estados Unidos de </w:t>
      </w:r>
      <w:proofErr w:type="spellStart"/>
      <w:r>
        <w:rPr>
          <w:bCs/>
          <w:szCs w:val="24"/>
        </w:rPr>
        <w:t>America</w:t>
      </w:r>
      <w:proofErr w:type="spellEnd"/>
      <w:r>
        <w:rPr>
          <w:bCs/>
          <w:szCs w:val="24"/>
        </w:rPr>
        <w:t xml:space="preserve">, y ítem 19 correspondiente a 4 brochas de cerdas de 5 pulgadas por un monto de: $6.80 dólares de los Estados Unidos de </w:t>
      </w:r>
      <w:proofErr w:type="spellStart"/>
      <w:r>
        <w:rPr>
          <w:bCs/>
          <w:szCs w:val="24"/>
        </w:rPr>
        <w:t>America</w:t>
      </w:r>
      <w:proofErr w:type="spellEnd"/>
      <w:r>
        <w:rPr>
          <w:bCs/>
          <w:szCs w:val="24"/>
        </w:rPr>
        <w:t xml:space="preserve">, haciendo un monto total de: $300.26 dólares de los Estados Unidos de </w:t>
      </w:r>
      <w:proofErr w:type="spellStart"/>
      <w:r>
        <w:rPr>
          <w:bCs/>
          <w:szCs w:val="24"/>
        </w:rPr>
        <w:t>America</w:t>
      </w:r>
      <w:proofErr w:type="spellEnd"/>
      <w:r>
        <w:rPr>
          <w:bCs/>
          <w:szCs w:val="24"/>
        </w:rPr>
        <w:t xml:space="preserve">, oferente </w:t>
      </w:r>
      <w:r>
        <w:rPr>
          <w:b/>
          <w:szCs w:val="24"/>
        </w:rPr>
        <w:t>3</w:t>
      </w:r>
      <w:r w:rsidRPr="0065227B">
        <w:rPr>
          <w:b/>
          <w:szCs w:val="24"/>
        </w:rPr>
        <w:t>)</w:t>
      </w:r>
      <w:r>
        <w:rPr>
          <w:b/>
          <w:szCs w:val="24"/>
        </w:rPr>
        <w:t xml:space="preserve"> </w:t>
      </w:r>
      <w:r w:rsidRPr="00154A78">
        <w:rPr>
          <w:b/>
          <w:szCs w:val="24"/>
          <w:highlight w:val="black"/>
        </w:rPr>
        <w:t>XXXXXXXXXXXX</w:t>
      </w:r>
      <w:r w:rsidRPr="00D778F6">
        <w:rPr>
          <w:bCs/>
          <w:szCs w:val="24"/>
        </w:rPr>
        <w:t xml:space="preserve"> </w:t>
      </w:r>
      <w:r w:rsidRPr="00D778F6">
        <w:rPr>
          <w:bCs/>
          <w:szCs w:val="24"/>
        </w:rPr>
        <w:t xml:space="preserve">los siguientes ítem </w:t>
      </w:r>
      <w:r>
        <w:rPr>
          <w:bCs/>
          <w:szCs w:val="24"/>
        </w:rPr>
        <w:t xml:space="preserve">1 correspondiente a 5 costaneras de pino de 5 varas, por un monto de: $37.50 dólares de los Estados Unidos de </w:t>
      </w:r>
      <w:proofErr w:type="spellStart"/>
      <w:r>
        <w:rPr>
          <w:bCs/>
          <w:szCs w:val="24"/>
        </w:rPr>
        <w:t>America</w:t>
      </w:r>
      <w:proofErr w:type="spellEnd"/>
      <w:r>
        <w:rPr>
          <w:bCs/>
          <w:szCs w:val="24"/>
        </w:rPr>
        <w:t xml:space="preserve">, ítem 3 </w:t>
      </w:r>
      <w:r>
        <w:rPr>
          <w:bCs/>
          <w:szCs w:val="24"/>
        </w:rPr>
        <w:lastRenderedPageBreak/>
        <w:t xml:space="preserve">correspondiente a 1 quintal de hierro corrugado número 3 por un monto de: $57.00 dólares de los Estados Unidos de </w:t>
      </w:r>
      <w:proofErr w:type="spellStart"/>
      <w:r>
        <w:rPr>
          <w:bCs/>
          <w:szCs w:val="24"/>
        </w:rPr>
        <w:t>America</w:t>
      </w:r>
      <w:proofErr w:type="spellEnd"/>
      <w:r>
        <w:rPr>
          <w:bCs/>
          <w:szCs w:val="24"/>
        </w:rPr>
        <w:t xml:space="preserve">,   ítem 10 correspondiente a 729 bolsas de cemento portland, por un monto de: $6,852.60 dólares de los Estados Unidos de </w:t>
      </w:r>
      <w:proofErr w:type="spellStart"/>
      <w:r>
        <w:rPr>
          <w:bCs/>
          <w:szCs w:val="24"/>
        </w:rPr>
        <w:t>America</w:t>
      </w:r>
      <w:proofErr w:type="spellEnd"/>
      <w:r>
        <w:rPr>
          <w:bCs/>
          <w:szCs w:val="24"/>
        </w:rPr>
        <w:t xml:space="preserve">,  ítem 11 correspondiente a 29 m3 de arena de rio, por un monto de: $870.00 dólares de los Estados Unidos de </w:t>
      </w:r>
      <w:proofErr w:type="spellStart"/>
      <w:r>
        <w:rPr>
          <w:bCs/>
          <w:szCs w:val="24"/>
        </w:rPr>
        <w:t>America</w:t>
      </w:r>
      <w:proofErr w:type="spellEnd"/>
      <w:r>
        <w:rPr>
          <w:bCs/>
          <w:szCs w:val="24"/>
        </w:rPr>
        <w:t xml:space="preserve">,  ítem 12 correspondiente a  21 metros cúbicos de grava </w:t>
      </w:r>
      <w:proofErr w:type="spellStart"/>
      <w:r>
        <w:rPr>
          <w:bCs/>
          <w:szCs w:val="24"/>
        </w:rPr>
        <w:t>numero</w:t>
      </w:r>
      <w:proofErr w:type="spellEnd"/>
      <w:r>
        <w:rPr>
          <w:bCs/>
          <w:szCs w:val="24"/>
        </w:rPr>
        <w:t xml:space="preserve"> 2 por un monto de: $945.00 dólares de los Estados Unidos de </w:t>
      </w:r>
      <w:proofErr w:type="spellStart"/>
      <w:r>
        <w:rPr>
          <w:bCs/>
          <w:szCs w:val="24"/>
        </w:rPr>
        <w:t>America</w:t>
      </w:r>
      <w:proofErr w:type="spellEnd"/>
      <w:r>
        <w:rPr>
          <w:bCs/>
          <w:szCs w:val="24"/>
        </w:rPr>
        <w:t xml:space="preserve">,  ítem 16 correspondiente a  915 bloques enteros de 15x20x40 centímetros, por un monto de: $549.00 dólares de los Estados Unidos de </w:t>
      </w:r>
      <w:proofErr w:type="spellStart"/>
      <w:r>
        <w:rPr>
          <w:bCs/>
          <w:szCs w:val="24"/>
        </w:rPr>
        <w:t>America</w:t>
      </w:r>
      <w:proofErr w:type="spellEnd"/>
      <w:r>
        <w:rPr>
          <w:bCs/>
          <w:szCs w:val="24"/>
        </w:rPr>
        <w:t xml:space="preserve">, y el ítem 17 correspondiente a 5 discos diamantado( para cortes en block) por un monto de: $55.00 dólares de los Estados Unidos de </w:t>
      </w:r>
      <w:proofErr w:type="spellStart"/>
      <w:r>
        <w:rPr>
          <w:bCs/>
          <w:szCs w:val="24"/>
        </w:rPr>
        <w:t>America</w:t>
      </w:r>
      <w:proofErr w:type="spellEnd"/>
      <w:r>
        <w:rPr>
          <w:bCs/>
          <w:szCs w:val="24"/>
        </w:rPr>
        <w:t xml:space="preserve">, haciendo un monto total de : $ 9,366.10 dólares de los Estados Unidos de </w:t>
      </w:r>
      <w:proofErr w:type="spellStart"/>
      <w:r>
        <w:rPr>
          <w:bCs/>
          <w:szCs w:val="24"/>
        </w:rPr>
        <w:t>America</w:t>
      </w:r>
      <w:proofErr w:type="spellEnd"/>
      <w:r>
        <w:rPr>
          <w:bCs/>
          <w:szCs w:val="24"/>
        </w:rPr>
        <w:t xml:space="preserve">.  </w:t>
      </w:r>
      <w:r>
        <w:rPr>
          <w:szCs w:val="24"/>
        </w:rPr>
        <w:t>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los tres oferentes cumplen con los formularios establecidos por la 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por ítems a los tres oferentes de la siguiente manera: </w:t>
      </w:r>
      <w:r>
        <w:rPr>
          <w:bCs/>
          <w:szCs w:val="24"/>
        </w:rPr>
        <w:t xml:space="preserve">oferente </w:t>
      </w:r>
      <w:r w:rsidRPr="0065227B">
        <w:rPr>
          <w:b/>
          <w:szCs w:val="24"/>
        </w:rPr>
        <w:t>1)</w:t>
      </w:r>
      <w:r>
        <w:rPr>
          <w:b/>
          <w:szCs w:val="24"/>
        </w:rPr>
        <w:t xml:space="preserve"> </w:t>
      </w:r>
      <w:r w:rsidRPr="00154A78">
        <w:rPr>
          <w:b/>
          <w:szCs w:val="24"/>
          <w:highlight w:val="black"/>
        </w:rPr>
        <w:t>XXXXXXXXXXXX</w:t>
      </w:r>
      <w:r w:rsidRPr="00F726D6">
        <w:rPr>
          <w:bCs/>
          <w:szCs w:val="24"/>
        </w:rPr>
        <w:t xml:space="preserve"> </w:t>
      </w:r>
      <w:r w:rsidRPr="00F726D6">
        <w:rPr>
          <w:bCs/>
          <w:szCs w:val="24"/>
        </w:rPr>
        <w:t>el</w:t>
      </w:r>
      <w:r w:rsidRPr="001563BF">
        <w:rPr>
          <w:bCs/>
          <w:szCs w:val="24"/>
        </w:rPr>
        <w:t xml:space="preserve"> ítem 2 correspondiente a</w:t>
      </w:r>
      <w:r>
        <w:rPr>
          <w:bCs/>
          <w:szCs w:val="24"/>
        </w:rPr>
        <w:t xml:space="preserve"> 8 reglas pacha de pino de 5 varas por un monto de: $ 31.20 dólares de los Estados Unidos de </w:t>
      </w:r>
      <w:proofErr w:type="spellStart"/>
      <w:r>
        <w:rPr>
          <w:bCs/>
          <w:szCs w:val="24"/>
        </w:rPr>
        <w:t>America</w:t>
      </w:r>
      <w:proofErr w:type="spellEnd"/>
      <w:r w:rsidRPr="001563BF">
        <w:rPr>
          <w:bCs/>
          <w:szCs w:val="24"/>
        </w:rPr>
        <w:t>,</w:t>
      </w:r>
      <w:r>
        <w:rPr>
          <w:bCs/>
          <w:szCs w:val="24"/>
        </w:rPr>
        <w:t xml:space="preserve"> el</w:t>
      </w:r>
      <w:r w:rsidRPr="001563BF">
        <w:rPr>
          <w:bCs/>
          <w:szCs w:val="24"/>
        </w:rPr>
        <w:t xml:space="preserve"> ítem </w:t>
      </w:r>
      <w:r>
        <w:rPr>
          <w:bCs/>
          <w:szCs w:val="24"/>
        </w:rPr>
        <w:t>4</w:t>
      </w:r>
      <w:r w:rsidRPr="001563BF">
        <w:rPr>
          <w:bCs/>
          <w:szCs w:val="24"/>
        </w:rPr>
        <w:t xml:space="preserve"> correspondiente </w:t>
      </w:r>
      <w:r>
        <w:rPr>
          <w:bCs/>
          <w:szCs w:val="24"/>
        </w:rPr>
        <w:t xml:space="preserve">a 10 bollos de cordel nylon, por el monto de: $13.50 dólares de los Estados Unidos de </w:t>
      </w:r>
      <w:proofErr w:type="spellStart"/>
      <w:r>
        <w:rPr>
          <w:bCs/>
          <w:szCs w:val="24"/>
        </w:rPr>
        <w:t>America</w:t>
      </w:r>
      <w:proofErr w:type="spellEnd"/>
      <w:r w:rsidRPr="001563BF">
        <w:rPr>
          <w:bCs/>
          <w:szCs w:val="24"/>
        </w:rPr>
        <w:t>,</w:t>
      </w:r>
      <w:r>
        <w:rPr>
          <w:bCs/>
          <w:szCs w:val="24"/>
        </w:rPr>
        <w:t xml:space="preserve"> </w:t>
      </w:r>
      <w:r w:rsidRPr="001563BF">
        <w:rPr>
          <w:bCs/>
          <w:szCs w:val="24"/>
        </w:rPr>
        <w:t xml:space="preserve">y </w:t>
      </w:r>
      <w:r>
        <w:rPr>
          <w:bCs/>
          <w:szCs w:val="24"/>
        </w:rPr>
        <w:t xml:space="preserve">el ítem </w:t>
      </w:r>
      <w:r w:rsidRPr="001563BF">
        <w:rPr>
          <w:bCs/>
          <w:szCs w:val="24"/>
        </w:rPr>
        <w:t>14</w:t>
      </w:r>
      <w:r>
        <w:rPr>
          <w:bCs/>
          <w:szCs w:val="24"/>
        </w:rPr>
        <w:t xml:space="preserve"> </w:t>
      </w:r>
      <w:r w:rsidRPr="001563BF">
        <w:rPr>
          <w:bCs/>
          <w:szCs w:val="24"/>
        </w:rPr>
        <w:t>correspondiente a</w:t>
      </w:r>
      <w:r>
        <w:rPr>
          <w:bCs/>
          <w:szCs w:val="24"/>
        </w:rPr>
        <w:t xml:space="preserve"> 36 tablas de pino de 5 varas por el monto de: $675.00 dólares de los Estados Unidos de </w:t>
      </w:r>
      <w:proofErr w:type="spellStart"/>
      <w:r>
        <w:rPr>
          <w:bCs/>
          <w:szCs w:val="24"/>
        </w:rPr>
        <w:t>America</w:t>
      </w:r>
      <w:proofErr w:type="spellEnd"/>
      <w:r w:rsidRPr="001563BF">
        <w:rPr>
          <w:bCs/>
          <w:szCs w:val="24"/>
        </w:rPr>
        <w:t>,</w:t>
      </w:r>
      <w:r>
        <w:rPr>
          <w:bCs/>
          <w:szCs w:val="24"/>
        </w:rPr>
        <w:t xml:space="preserve"> por un monto total de: $719.70 dólares de los Estados Unidos de </w:t>
      </w:r>
      <w:proofErr w:type="spellStart"/>
      <w:r>
        <w:rPr>
          <w:bCs/>
          <w:szCs w:val="24"/>
        </w:rPr>
        <w:t>America</w:t>
      </w:r>
      <w:proofErr w:type="spellEnd"/>
      <w:r w:rsidRPr="001563BF">
        <w:rPr>
          <w:bCs/>
          <w:szCs w:val="24"/>
        </w:rPr>
        <w:t>,</w:t>
      </w:r>
      <w:r>
        <w:rPr>
          <w:bCs/>
          <w:szCs w:val="24"/>
        </w:rPr>
        <w:t xml:space="preserve"> oferente </w:t>
      </w:r>
      <w:r>
        <w:rPr>
          <w:b/>
          <w:szCs w:val="24"/>
        </w:rPr>
        <w:t>2</w:t>
      </w:r>
      <w:r w:rsidRPr="0065227B">
        <w:rPr>
          <w:b/>
          <w:szCs w:val="24"/>
        </w:rPr>
        <w:t>)</w:t>
      </w:r>
      <w:r>
        <w:rPr>
          <w:b/>
          <w:szCs w:val="24"/>
        </w:rPr>
        <w:t xml:space="preserve"> </w:t>
      </w:r>
      <w:r w:rsidRPr="00154A78">
        <w:rPr>
          <w:b/>
          <w:szCs w:val="24"/>
          <w:highlight w:val="black"/>
        </w:rPr>
        <w:t>XXXXXXXXXXXX</w:t>
      </w:r>
      <w:r>
        <w:rPr>
          <w:b/>
          <w:szCs w:val="24"/>
        </w:rPr>
        <w:t xml:space="preserve">, </w:t>
      </w:r>
      <w:r w:rsidRPr="00F726D6">
        <w:rPr>
          <w:bCs/>
          <w:szCs w:val="24"/>
        </w:rPr>
        <w:t>los siguientes ítems</w:t>
      </w:r>
      <w:r>
        <w:rPr>
          <w:bCs/>
          <w:szCs w:val="24"/>
        </w:rPr>
        <w:t xml:space="preserve">: 5 correspondiente a 25 yardas de manguera transparente de ½ por un monto de: $14.75 dólares de los Estados Unidos de </w:t>
      </w:r>
      <w:proofErr w:type="spellStart"/>
      <w:r>
        <w:rPr>
          <w:bCs/>
          <w:szCs w:val="24"/>
        </w:rPr>
        <w:t>America</w:t>
      </w:r>
      <w:proofErr w:type="spellEnd"/>
      <w:r w:rsidRPr="001563BF">
        <w:rPr>
          <w:bCs/>
          <w:szCs w:val="24"/>
        </w:rPr>
        <w:t>,</w:t>
      </w:r>
      <w:r>
        <w:rPr>
          <w:bCs/>
          <w:szCs w:val="24"/>
        </w:rPr>
        <w:t xml:space="preserve"> ítem 6 correspondiente a 5 botes de pintura en espray por un monto de:  $10.65 dólares de los Estados Unidos de </w:t>
      </w:r>
      <w:proofErr w:type="spellStart"/>
      <w:r>
        <w:rPr>
          <w:bCs/>
          <w:szCs w:val="24"/>
        </w:rPr>
        <w:t>America</w:t>
      </w:r>
      <w:proofErr w:type="spellEnd"/>
      <w:r>
        <w:rPr>
          <w:bCs/>
          <w:szCs w:val="24"/>
        </w:rPr>
        <w:t xml:space="preserve">, ítem 7 correspondiente a 5 libras de clavos de 2.1/2 por el monto de: $4.40 dólares de los Estados Unidos de </w:t>
      </w:r>
      <w:proofErr w:type="spellStart"/>
      <w:r>
        <w:rPr>
          <w:bCs/>
          <w:szCs w:val="24"/>
        </w:rPr>
        <w:t>America</w:t>
      </w:r>
      <w:proofErr w:type="spellEnd"/>
      <w:r>
        <w:rPr>
          <w:bCs/>
          <w:szCs w:val="24"/>
        </w:rPr>
        <w:t xml:space="preserve">, ítem 8 correspondiente a 2 libras de clavos de 4” por un monto de: $1.76 dólares de los Estados Unidos de </w:t>
      </w:r>
      <w:proofErr w:type="spellStart"/>
      <w:r>
        <w:rPr>
          <w:bCs/>
          <w:szCs w:val="24"/>
        </w:rPr>
        <w:t>America</w:t>
      </w:r>
      <w:proofErr w:type="spellEnd"/>
      <w:r>
        <w:rPr>
          <w:bCs/>
          <w:szCs w:val="24"/>
        </w:rPr>
        <w:t xml:space="preserve">, ítem 9 correspondiente a 10 lápiz bicolor por un monto de:$1.80  dólares de los Estados Unidos de </w:t>
      </w:r>
      <w:proofErr w:type="spellStart"/>
      <w:r>
        <w:rPr>
          <w:bCs/>
          <w:szCs w:val="24"/>
        </w:rPr>
        <w:t>America</w:t>
      </w:r>
      <w:proofErr w:type="spellEnd"/>
      <w:r>
        <w:rPr>
          <w:bCs/>
          <w:szCs w:val="24"/>
        </w:rPr>
        <w:t xml:space="preserve">, ítem 13 correspondiente a 15 esponjas  por un monto de: $3.15 dólares de los Estados Unidos de </w:t>
      </w:r>
      <w:proofErr w:type="spellStart"/>
      <w:r>
        <w:rPr>
          <w:bCs/>
          <w:szCs w:val="24"/>
        </w:rPr>
        <w:t>America</w:t>
      </w:r>
      <w:proofErr w:type="spellEnd"/>
      <w:r>
        <w:rPr>
          <w:bCs/>
          <w:szCs w:val="24"/>
        </w:rPr>
        <w:t xml:space="preserve">, ítem 15 correspondiente a 25 libras de alambre de amarre  por un monto de: $22.00 dólares de los Estados Unidos de </w:t>
      </w:r>
      <w:proofErr w:type="spellStart"/>
      <w:r>
        <w:rPr>
          <w:bCs/>
          <w:szCs w:val="24"/>
        </w:rPr>
        <w:t>America</w:t>
      </w:r>
      <w:proofErr w:type="spellEnd"/>
      <w:r>
        <w:rPr>
          <w:bCs/>
          <w:szCs w:val="24"/>
        </w:rPr>
        <w:t xml:space="preserve">, ítem 18 correspondiente a 5 galones de pintura de trafic color amarillo por un monto de: $234.95 dólares de los Estados Unidos de </w:t>
      </w:r>
      <w:proofErr w:type="spellStart"/>
      <w:r>
        <w:rPr>
          <w:bCs/>
          <w:szCs w:val="24"/>
        </w:rPr>
        <w:t>America</w:t>
      </w:r>
      <w:proofErr w:type="spellEnd"/>
      <w:r>
        <w:rPr>
          <w:bCs/>
          <w:szCs w:val="24"/>
        </w:rPr>
        <w:t xml:space="preserve">, y ítem 19 correspondiente a 4 brochas de cerdas de 5 pulgadas por un monto de: $6.80 dólares de los Estados Unidos de </w:t>
      </w:r>
      <w:proofErr w:type="spellStart"/>
      <w:r>
        <w:rPr>
          <w:bCs/>
          <w:szCs w:val="24"/>
        </w:rPr>
        <w:t>America</w:t>
      </w:r>
      <w:proofErr w:type="spellEnd"/>
      <w:r>
        <w:rPr>
          <w:bCs/>
          <w:szCs w:val="24"/>
        </w:rPr>
        <w:t xml:space="preserve">, haciendo un monto total de: $300.26 dólares de los Estados Unidos de </w:t>
      </w:r>
      <w:proofErr w:type="spellStart"/>
      <w:r>
        <w:rPr>
          <w:bCs/>
          <w:szCs w:val="24"/>
        </w:rPr>
        <w:t>America</w:t>
      </w:r>
      <w:proofErr w:type="spellEnd"/>
      <w:r>
        <w:rPr>
          <w:bCs/>
          <w:szCs w:val="24"/>
        </w:rPr>
        <w:t xml:space="preserve">, oferente </w:t>
      </w:r>
      <w:r>
        <w:rPr>
          <w:b/>
          <w:szCs w:val="24"/>
        </w:rPr>
        <w:t>3</w:t>
      </w:r>
      <w:r w:rsidRPr="0065227B">
        <w:rPr>
          <w:b/>
          <w:szCs w:val="24"/>
        </w:rPr>
        <w:t>)</w:t>
      </w:r>
      <w:r>
        <w:rPr>
          <w:b/>
          <w:szCs w:val="24"/>
        </w:rPr>
        <w:t xml:space="preserve"> </w:t>
      </w:r>
      <w:r w:rsidRPr="00154A78">
        <w:rPr>
          <w:b/>
          <w:szCs w:val="24"/>
          <w:highlight w:val="black"/>
        </w:rPr>
        <w:t>XXXXXXXXXXXX</w:t>
      </w:r>
      <w:r w:rsidRPr="00D778F6">
        <w:rPr>
          <w:bCs/>
          <w:szCs w:val="24"/>
        </w:rPr>
        <w:t xml:space="preserve"> </w:t>
      </w:r>
      <w:r w:rsidRPr="00D778F6">
        <w:rPr>
          <w:bCs/>
          <w:szCs w:val="24"/>
        </w:rPr>
        <w:t xml:space="preserve">los siguientes ítem </w:t>
      </w:r>
      <w:r>
        <w:rPr>
          <w:bCs/>
          <w:szCs w:val="24"/>
        </w:rPr>
        <w:t xml:space="preserve">1 correspondiente a 5 costaneras de pino de 5 varas, por un monto de: $37.50 dólares de los Estados Unidos de </w:t>
      </w:r>
      <w:proofErr w:type="spellStart"/>
      <w:r>
        <w:rPr>
          <w:bCs/>
          <w:szCs w:val="24"/>
        </w:rPr>
        <w:t>America</w:t>
      </w:r>
      <w:proofErr w:type="spellEnd"/>
      <w:r>
        <w:rPr>
          <w:bCs/>
          <w:szCs w:val="24"/>
        </w:rPr>
        <w:t xml:space="preserve">, ítem 3 correspondiente a 1 quintal de hierro corrugado número 3 por un monto de: $57.00 dólares de los Estados Unidos de </w:t>
      </w:r>
      <w:proofErr w:type="spellStart"/>
      <w:r>
        <w:rPr>
          <w:bCs/>
          <w:szCs w:val="24"/>
        </w:rPr>
        <w:t>America</w:t>
      </w:r>
      <w:proofErr w:type="spellEnd"/>
      <w:r>
        <w:rPr>
          <w:bCs/>
          <w:szCs w:val="24"/>
        </w:rPr>
        <w:t xml:space="preserve">,   ítem 10 correspondiente a 729 bolsas de cemento portland, por un monto de: $6,852.60 dólares de los Estados Unidos de </w:t>
      </w:r>
      <w:proofErr w:type="spellStart"/>
      <w:r>
        <w:rPr>
          <w:bCs/>
          <w:szCs w:val="24"/>
        </w:rPr>
        <w:t>America</w:t>
      </w:r>
      <w:proofErr w:type="spellEnd"/>
      <w:r>
        <w:rPr>
          <w:bCs/>
          <w:szCs w:val="24"/>
        </w:rPr>
        <w:t xml:space="preserve">,  ítem 11 correspondiente a 29 m3 de arena de rio, por un monto de: $870.00 dólares de los Estados Unidos de </w:t>
      </w:r>
      <w:proofErr w:type="spellStart"/>
      <w:r>
        <w:rPr>
          <w:bCs/>
          <w:szCs w:val="24"/>
        </w:rPr>
        <w:t>America</w:t>
      </w:r>
      <w:proofErr w:type="spellEnd"/>
      <w:r>
        <w:rPr>
          <w:bCs/>
          <w:szCs w:val="24"/>
        </w:rPr>
        <w:t xml:space="preserve">,  ítem 12 correspondiente a  21 metros cúbicos de grava </w:t>
      </w:r>
      <w:proofErr w:type="spellStart"/>
      <w:r>
        <w:rPr>
          <w:bCs/>
          <w:szCs w:val="24"/>
        </w:rPr>
        <w:t>numero</w:t>
      </w:r>
      <w:proofErr w:type="spellEnd"/>
      <w:r>
        <w:rPr>
          <w:bCs/>
          <w:szCs w:val="24"/>
        </w:rPr>
        <w:t xml:space="preserve"> 2 por un monto de: $945.00 dólares de los Estados Unidos de </w:t>
      </w:r>
      <w:proofErr w:type="spellStart"/>
      <w:r>
        <w:rPr>
          <w:bCs/>
          <w:szCs w:val="24"/>
        </w:rPr>
        <w:t>America</w:t>
      </w:r>
      <w:proofErr w:type="spellEnd"/>
      <w:r>
        <w:rPr>
          <w:bCs/>
          <w:szCs w:val="24"/>
        </w:rPr>
        <w:t xml:space="preserve">,  ítem 16 correspondiente a  915 bloques enteros de 15x20x40 centímetro, por un monto de: $549.00 dólares de los Estados Unidos de </w:t>
      </w:r>
      <w:proofErr w:type="spellStart"/>
      <w:r>
        <w:rPr>
          <w:bCs/>
          <w:szCs w:val="24"/>
        </w:rPr>
        <w:t>America</w:t>
      </w:r>
      <w:proofErr w:type="spellEnd"/>
      <w:r>
        <w:rPr>
          <w:bCs/>
          <w:szCs w:val="24"/>
        </w:rPr>
        <w:t xml:space="preserve">, y el ítem 17 correspondiente a 5 discos diamantado( para cortes en block) por un monto de: $55.00 dólares de los Estados Unidos de </w:t>
      </w:r>
      <w:proofErr w:type="spellStart"/>
      <w:r>
        <w:rPr>
          <w:bCs/>
          <w:szCs w:val="24"/>
        </w:rPr>
        <w:t>America</w:t>
      </w:r>
      <w:proofErr w:type="spellEnd"/>
      <w:r>
        <w:rPr>
          <w:bCs/>
          <w:szCs w:val="24"/>
        </w:rPr>
        <w:t xml:space="preserve">, haciendo un monto total de: $ 9,366.10 dólares de los Estados Unidos de </w:t>
      </w:r>
      <w:proofErr w:type="spellStart"/>
      <w:r>
        <w:rPr>
          <w:bCs/>
          <w:szCs w:val="24"/>
        </w:rPr>
        <w:t>America</w:t>
      </w:r>
      <w:proofErr w:type="spellEnd"/>
      <w:r>
        <w:rPr>
          <w:bCs/>
          <w:szCs w:val="24"/>
        </w:rPr>
        <w:t xml:space="preserve">. </w:t>
      </w:r>
      <w:r>
        <w:rPr>
          <w:szCs w:val="24"/>
        </w:rPr>
        <w:t>Se autoriza a la jefa UCP, realizar el proceso correspondiente de compra y a la tesorera Municipal realizar el pago del proyecto:</w:t>
      </w:r>
      <w:r w:rsidRPr="00D02B32">
        <w:rPr>
          <w:bCs/>
          <w:szCs w:val="24"/>
        </w:rPr>
        <w:t xml:space="preserve"> </w:t>
      </w:r>
      <w:r w:rsidRPr="00D5153B">
        <w:rPr>
          <w:bCs/>
          <w:szCs w:val="24"/>
        </w:rPr>
        <w:t>Construcción de cordón cuneta</w:t>
      </w:r>
      <w:r w:rsidRPr="00041E71">
        <w:rPr>
          <w:szCs w:val="24"/>
        </w:rPr>
        <w:t xml:space="preserve"> </w:t>
      </w:r>
      <w:r>
        <w:rPr>
          <w:szCs w:val="24"/>
        </w:rPr>
        <w:t>y a</w:t>
      </w:r>
      <w:r w:rsidRPr="00041E71">
        <w:rPr>
          <w:szCs w:val="24"/>
        </w:rPr>
        <w:t xml:space="preserve">sfaltado de Tercer pasaje del </w:t>
      </w:r>
      <w:r>
        <w:rPr>
          <w:szCs w:val="24"/>
        </w:rPr>
        <w:t xml:space="preserve">Caserío </w:t>
      </w:r>
      <w:proofErr w:type="spellStart"/>
      <w:r w:rsidRPr="00041E71">
        <w:rPr>
          <w:szCs w:val="24"/>
        </w:rPr>
        <w:t>Taberinto</w:t>
      </w:r>
      <w:proofErr w:type="spellEnd"/>
      <w:r>
        <w:rPr>
          <w:szCs w:val="24"/>
        </w:rPr>
        <w:t xml:space="preserve"> Cantón Zacamil,</w:t>
      </w:r>
      <w:r w:rsidRPr="00041E71">
        <w:rPr>
          <w:szCs w:val="24"/>
        </w:rPr>
        <w:t xml:space="preserve"> del municipio de Guazapa departamento de San Salvador</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bookmarkEnd w:id="4"/>
      <w:r>
        <w:rPr>
          <w:szCs w:val="24"/>
        </w:rPr>
        <w:t xml:space="preserve">Y </w:t>
      </w:r>
      <w:r w:rsidRPr="00050600">
        <w:rPr>
          <w:rFonts w:eastAsia="Calibri"/>
          <w:bCs/>
          <w:szCs w:val="24"/>
        </w:rPr>
        <w:t>no habiendo más que hacer constar, se da por finalizada la presente acta y para constancia firmamos.</w:t>
      </w:r>
    </w:p>
    <w:bookmarkEnd w:id="0"/>
    <w:p w14:paraId="0A505752" w14:textId="77777777" w:rsidR="0037691A" w:rsidRDefault="0037691A" w:rsidP="0037691A">
      <w:pPr>
        <w:rPr>
          <w:rFonts w:eastAsia="Calibri"/>
        </w:rPr>
      </w:pPr>
    </w:p>
    <w:p w14:paraId="7DD6DA0A" w14:textId="77777777" w:rsidR="0037691A" w:rsidRDefault="0037691A" w:rsidP="0037691A">
      <w:pPr>
        <w:rPr>
          <w:rFonts w:eastAsia="Calibri"/>
        </w:rPr>
      </w:pPr>
    </w:p>
    <w:p w14:paraId="38C61FDF" w14:textId="4732AAFF" w:rsidR="00055017" w:rsidRPr="00050600" w:rsidRDefault="00055017" w:rsidP="0037691A">
      <w:pPr>
        <w:jc w:val="center"/>
        <w:rPr>
          <w:rFonts w:eastAsia="Calibri"/>
        </w:rPr>
      </w:pPr>
      <w:r>
        <w:rPr>
          <w:rFonts w:eastAsia="Calibri"/>
        </w:rPr>
        <w:lastRenderedPageBreak/>
        <w:t>José Héctor Salguero Ruano</w:t>
      </w:r>
    </w:p>
    <w:p w14:paraId="23C19125" w14:textId="77777777" w:rsidR="00055017" w:rsidRPr="00050600" w:rsidRDefault="00055017" w:rsidP="0037691A">
      <w:pPr>
        <w:jc w:val="center"/>
        <w:rPr>
          <w:rFonts w:eastAsia="Calibri"/>
          <w:bCs/>
          <w:szCs w:val="24"/>
        </w:rPr>
      </w:pPr>
      <w:r w:rsidRPr="00050600">
        <w:rPr>
          <w:rFonts w:eastAsia="Calibri"/>
        </w:rPr>
        <w:t>Alcalde Municipal</w:t>
      </w: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8"/>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7C16" w14:textId="77777777" w:rsidR="00802198" w:rsidRDefault="00802198">
      <w:r>
        <w:separator/>
      </w:r>
    </w:p>
  </w:endnote>
  <w:endnote w:type="continuationSeparator" w:id="0">
    <w:p w14:paraId="14867C7E" w14:textId="77777777" w:rsidR="00802198" w:rsidRDefault="0080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CE80" w14:textId="77777777" w:rsidR="00802198" w:rsidRDefault="00802198">
      <w:r>
        <w:separator/>
      </w:r>
    </w:p>
  </w:footnote>
  <w:footnote w:type="continuationSeparator" w:id="0">
    <w:p w14:paraId="40E90E66" w14:textId="77777777" w:rsidR="00802198" w:rsidRDefault="0080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831"/>
    <w:rsid w:val="00053908"/>
    <w:rsid w:val="00055017"/>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6F7E"/>
    <w:rsid w:val="000D7937"/>
    <w:rsid w:val="000E447B"/>
    <w:rsid w:val="000F0BF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36C15"/>
    <w:rsid w:val="001469B4"/>
    <w:rsid w:val="00152930"/>
    <w:rsid w:val="00154A78"/>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4A65"/>
    <w:rsid w:val="003766A5"/>
    <w:rsid w:val="0037691A"/>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19CC"/>
    <w:rsid w:val="005B2394"/>
    <w:rsid w:val="005B722F"/>
    <w:rsid w:val="005B74B3"/>
    <w:rsid w:val="005B7833"/>
    <w:rsid w:val="005C4481"/>
    <w:rsid w:val="005D0335"/>
    <w:rsid w:val="005D7FF1"/>
    <w:rsid w:val="005E4C7F"/>
    <w:rsid w:val="005F11CF"/>
    <w:rsid w:val="005F1512"/>
    <w:rsid w:val="005F21BD"/>
    <w:rsid w:val="005F5BD2"/>
    <w:rsid w:val="00605265"/>
    <w:rsid w:val="00607EF1"/>
    <w:rsid w:val="006133C1"/>
    <w:rsid w:val="0061702F"/>
    <w:rsid w:val="00627189"/>
    <w:rsid w:val="00646174"/>
    <w:rsid w:val="00652202"/>
    <w:rsid w:val="00652A64"/>
    <w:rsid w:val="00673338"/>
    <w:rsid w:val="0067484C"/>
    <w:rsid w:val="006816D0"/>
    <w:rsid w:val="00692173"/>
    <w:rsid w:val="00695696"/>
    <w:rsid w:val="006A68B2"/>
    <w:rsid w:val="006B01C5"/>
    <w:rsid w:val="006C0455"/>
    <w:rsid w:val="006C7A89"/>
    <w:rsid w:val="006D3782"/>
    <w:rsid w:val="006D5126"/>
    <w:rsid w:val="006D6880"/>
    <w:rsid w:val="006E3901"/>
    <w:rsid w:val="006F02A5"/>
    <w:rsid w:val="006F3597"/>
    <w:rsid w:val="006F3A50"/>
    <w:rsid w:val="006F5C78"/>
    <w:rsid w:val="007031B8"/>
    <w:rsid w:val="00703B92"/>
    <w:rsid w:val="007161D8"/>
    <w:rsid w:val="007173EC"/>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02198"/>
    <w:rsid w:val="00815804"/>
    <w:rsid w:val="00821683"/>
    <w:rsid w:val="00823892"/>
    <w:rsid w:val="008240F8"/>
    <w:rsid w:val="00825947"/>
    <w:rsid w:val="008332BC"/>
    <w:rsid w:val="0083552C"/>
    <w:rsid w:val="00840F1D"/>
    <w:rsid w:val="0084163A"/>
    <w:rsid w:val="00843B3D"/>
    <w:rsid w:val="00847A6C"/>
    <w:rsid w:val="00851D0B"/>
    <w:rsid w:val="00856A5A"/>
    <w:rsid w:val="00856B6E"/>
    <w:rsid w:val="00856BEC"/>
    <w:rsid w:val="0085770B"/>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2788"/>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8757D"/>
    <w:rsid w:val="009911AE"/>
    <w:rsid w:val="009A1F23"/>
    <w:rsid w:val="009A3DB8"/>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36A71"/>
    <w:rsid w:val="00B4105F"/>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3252A"/>
    <w:rsid w:val="00C40D1F"/>
    <w:rsid w:val="00C544B2"/>
    <w:rsid w:val="00C55D2D"/>
    <w:rsid w:val="00C749AA"/>
    <w:rsid w:val="00C825EA"/>
    <w:rsid w:val="00C87389"/>
    <w:rsid w:val="00C90A9F"/>
    <w:rsid w:val="00C932EE"/>
    <w:rsid w:val="00C959A3"/>
    <w:rsid w:val="00CA0158"/>
    <w:rsid w:val="00CA04E5"/>
    <w:rsid w:val="00CA5A1E"/>
    <w:rsid w:val="00CA61CA"/>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18C"/>
    <w:rsid w:val="00CE4F72"/>
    <w:rsid w:val="00CE5138"/>
    <w:rsid w:val="00CE5700"/>
    <w:rsid w:val="00CF09B8"/>
    <w:rsid w:val="00CF1B69"/>
    <w:rsid w:val="00D06F9B"/>
    <w:rsid w:val="00D104E8"/>
    <w:rsid w:val="00D12CB8"/>
    <w:rsid w:val="00D132FD"/>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71F94"/>
    <w:rsid w:val="00D86B73"/>
    <w:rsid w:val="00DB237B"/>
    <w:rsid w:val="00DB28A8"/>
    <w:rsid w:val="00DB2FA8"/>
    <w:rsid w:val="00DB3666"/>
    <w:rsid w:val="00DC19D4"/>
    <w:rsid w:val="00DC249A"/>
    <w:rsid w:val="00DC4577"/>
    <w:rsid w:val="00DD3714"/>
    <w:rsid w:val="00DE03AF"/>
    <w:rsid w:val="00DE6CB1"/>
    <w:rsid w:val="00E040FD"/>
    <w:rsid w:val="00E14537"/>
    <w:rsid w:val="00E1528B"/>
    <w:rsid w:val="00E273D8"/>
    <w:rsid w:val="00E30043"/>
    <w:rsid w:val="00E32B46"/>
    <w:rsid w:val="00E4166D"/>
    <w:rsid w:val="00E46C0A"/>
    <w:rsid w:val="00E4758B"/>
    <w:rsid w:val="00E501BF"/>
    <w:rsid w:val="00E53531"/>
    <w:rsid w:val="00E535E6"/>
    <w:rsid w:val="00E5382B"/>
    <w:rsid w:val="00E53AEF"/>
    <w:rsid w:val="00E574C9"/>
    <w:rsid w:val="00E633E6"/>
    <w:rsid w:val="00E662ED"/>
    <w:rsid w:val="00E73D9B"/>
    <w:rsid w:val="00E80459"/>
    <w:rsid w:val="00E80C80"/>
    <w:rsid w:val="00E82013"/>
    <w:rsid w:val="00E82258"/>
    <w:rsid w:val="00E82CBD"/>
    <w:rsid w:val="00E91427"/>
    <w:rsid w:val="00E91970"/>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 w:val="00FF6C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8B2B-7256-445E-81F2-D7780F1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3002</Words>
  <Characters>16515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6</cp:revision>
  <dcterms:created xsi:type="dcterms:W3CDTF">2024-01-17T22:00:00Z</dcterms:created>
  <dcterms:modified xsi:type="dcterms:W3CDTF">2024-01-19T15:25:00Z</dcterms:modified>
</cp:coreProperties>
</file>