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D6703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18741867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Subsidios e incentivos fiscales " </w:t>
      </w:r>
      <w:r w:rsidR="000C3BAE">
        <w:rPr>
          <w:rFonts w:ascii="Batang" w:eastAsia="Batang" w:hAnsi="Batang" w:cs="Arial"/>
          <w:sz w:val="24"/>
        </w:rPr>
        <w:t>Enero 2019.</w:t>
      </w:r>
    </w:p>
    <w:p w:rsidR="00F14425" w:rsidRPr="00CD02B9" w:rsidRDefault="00D76B94" w:rsidP="00492C0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0C3BAE" w:rsidRDefault="000C3BAE" w:rsidP="008C6AAF">
      <w:pPr>
        <w:jc w:val="both"/>
        <w:rPr>
          <w:rFonts w:ascii="Batang" w:eastAsia="Batang" w:hAnsi="Batang" w:cs="Arial"/>
          <w:sz w:val="24"/>
        </w:rPr>
      </w:pPr>
      <w:r w:rsidRPr="000C3BAE">
        <w:rPr>
          <w:rFonts w:ascii="Batang" w:eastAsia="Batang" w:hAnsi="Batang" w:cs="Arial"/>
          <w:sz w:val="24"/>
        </w:rPr>
        <w:t xml:space="preserve">Ordenanza Transitoria de Excepción de Multas e Intereses publicada el 9 de Octubre de 2018, mantuvo vigencia hasta 15 de Enero de 2019. y desde esa fecha hasta Abril de 2019 no se ha implementado por parte del Consejo Municipal, otra similar, para realizar la respectiva actualización de la </w:t>
      </w:r>
      <w:bookmarkStart w:id="0" w:name="_Hlk8128992"/>
      <w:r w:rsidRPr="000C3BAE">
        <w:rPr>
          <w:rFonts w:ascii="Batang" w:eastAsia="Batang" w:hAnsi="Batang" w:cs="Arial"/>
          <w:sz w:val="24"/>
        </w:rPr>
        <w:t>Categoría</w:t>
      </w:r>
      <w:r w:rsidRPr="000C3BAE">
        <w:rPr>
          <w:rFonts w:ascii="Batang" w:eastAsia="Batang" w:hAnsi="Batang" w:cs="Arial"/>
          <w:sz w:val="24"/>
        </w:rPr>
        <w:t xml:space="preserve"> de </w:t>
      </w:r>
      <w:r w:rsidRPr="000C3BAE">
        <w:rPr>
          <w:rFonts w:ascii="Batang" w:eastAsia="Batang" w:hAnsi="Batang" w:cs="Arial"/>
          <w:sz w:val="24"/>
        </w:rPr>
        <w:t>Información</w:t>
      </w:r>
      <w:r w:rsidRPr="000C3BAE">
        <w:rPr>
          <w:rFonts w:ascii="Batang" w:eastAsia="Batang" w:hAnsi="Batang" w:cs="Arial"/>
          <w:sz w:val="24"/>
        </w:rPr>
        <w:t xml:space="preserve"> " Subsidios e incentivos fiscales "</w:t>
      </w:r>
      <w:r w:rsidRPr="000C3BAE">
        <w:rPr>
          <w:rFonts w:ascii="Batang" w:eastAsia="Batang" w:hAnsi="Batang" w:cs="Arial"/>
          <w:sz w:val="24"/>
        </w:rPr>
        <w:t xml:space="preserve"> </w:t>
      </w:r>
    </w:p>
    <w:bookmarkEnd w:id="0"/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0C3BAE">
        <w:rPr>
          <w:rFonts w:ascii="Batang" w:eastAsia="Batang" w:hAnsi="Batang" w:cs="Arial"/>
          <w:sz w:val="24"/>
        </w:rPr>
        <w:t>siete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0C3BAE">
        <w:rPr>
          <w:rFonts w:ascii="Batang" w:eastAsia="Batang" w:hAnsi="Batang" w:cs="Arial"/>
          <w:sz w:val="24"/>
        </w:rPr>
        <w:t>Mayo</w:t>
      </w:r>
      <w:bookmarkStart w:id="1" w:name="_GoBack"/>
      <w:bookmarkEnd w:id="1"/>
      <w:r w:rsidR="007155B3">
        <w:rPr>
          <w:rFonts w:ascii="Batang" w:eastAsia="Batang" w:hAnsi="Batang" w:cs="Arial"/>
          <w:sz w:val="24"/>
        </w:rPr>
        <w:t xml:space="preserve"> 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67033" w:rsidRDefault="00D67033" w:rsidP="00316D2C">
      <w:pPr>
        <w:spacing w:after="0" w:line="240" w:lineRule="auto"/>
      </w:pPr>
      <w:r>
        <w:separator/>
      </w:r>
    </w:p>
  </w:endnote>
  <w:endnote w:type="continuationSeparator" w:id="0">
    <w:p w:rsidR="00D67033" w:rsidRDefault="00D67033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67033" w:rsidRDefault="00D67033" w:rsidP="00316D2C">
      <w:pPr>
        <w:spacing w:after="0" w:line="240" w:lineRule="auto"/>
      </w:pPr>
      <w:r>
        <w:separator/>
      </w:r>
    </w:p>
  </w:footnote>
  <w:footnote w:type="continuationSeparator" w:id="0">
    <w:p w:rsidR="00D67033" w:rsidRDefault="00D67033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012A4E52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134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2019-05-07T19:45:00Z</dcterms:created>
  <dcterms:modified xsi:type="dcterms:W3CDTF">2019-05-07T19:45:00Z</dcterms:modified>
</cp:coreProperties>
</file>