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1E6C" w:rsidRPr="007549CA" w:rsidRDefault="00261E6C" w:rsidP="00261E6C">
      <w:pPr>
        <w:rPr>
          <w:lang w:val="es-SV"/>
        </w:rPr>
      </w:pPr>
    </w:p>
    <w:p w:rsidR="00261E6C" w:rsidRPr="007549CA" w:rsidRDefault="00261E6C" w:rsidP="00261E6C">
      <w:pPr>
        <w:rPr>
          <w:lang w:val="es-SV"/>
        </w:rPr>
      </w:pPr>
    </w:p>
    <w:p w:rsidR="00261E6C" w:rsidRDefault="00D7243A" w:rsidP="00261E6C">
      <w:pPr>
        <w:rPr>
          <w:lang w:val="es-SV"/>
        </w:rPr>
      </w:pPr>
      <w:r w:rsidRPr="007E15E2">
        <w:rPr>
          <w:rFonts w:ascii="Ubuntu" w:hAnsi="Ubuntu"/>
          <w:b/>
          <w:noProof/>
          <w:sz w:val="32"/>
          <w:szCs w:val="30"/>
          <w:lang w:val="es-SV" w:eastAsia="es-SV"/>
        </w:rPr>
        <w:drawing>
          <wp:anchor distT="0" distB="0" distL="114300" distR="114300" simplePos="0" relativeHeight="251659264" behindDoc="1" locked="0" layoutInCell="1" allowOverlap="1" wp14:anchorId="63955582" wp14:editId="72FE3B62">
            <wp:simplePos x="0" y="0"/>
            <wp:positionH relativeFrom="margin">
              <wp:align>center</wp:align>
            </wp:positionH>
            <wp:positionV relativeFrom="margin">
              <wp:posOffset>605155</wp:posOffset>
            </wp:positionV>
            <wp:extent cx="3419475" cy="2914015"/>
            <wp:effectExtent l="0" t="0" r="9525" b="635"/>
            <wp:wrapThrough wrapText="bothSides">
              <wp:wrapPolygon edited="0">
                <wp:start x="0" y="0"/>
                <wp:lineTo x="0" y="21463"/>
                <wp:lineTo x="21540" y="21463"/>
                <wp:lineTo x="21540"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 Manual.jpg"/>
                    <pic:cNvPicPr/>
                  </pic:nvPicPr>
                  <pic:blipFill rotWithShape="1">
                    <a:blip r:embed="rId6" cstate="print">
                      <a:extLst>
                        <a:ext uri="{28A0092B-C50C-407E-A947-70E740481C1C}">
                          <a14:useLocalDpi xmlns:a14="http://schemas.microsoft.com/office/drawing/2010/main" val="0"/>
                        </a:ext>
                      </a:extLst>
                    </a:blip>
                    <a:srcRect l="27736" t="6737" r="27510" b="66291"/>
                    <a:stretch/>
                  </pic:blipFill>
                  <pic:spPr bwMode="auto">
                    <a:xfrm>
                      <a:off x="0" y="0"/>
                      <a:ext cx="3419475" cy="2914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7243A" w:rsidRPr="007549CA" w:rsidRDefault="00D7243A" w:rsidP="00261E6C">
      <w:pPr>
        <w:rPr>
          <w:lang w:val="es-SV"/>
        </w:rPr>
      </w:pPr>
    </w:p>
    <w:p w:rsidR="00261E6C" w:rsidRPr="007549CA" w:rsidRDefault="00261E6C" w:rsidP="00261E6C">
      <w:pPr>
        <w:rPr>
          <w:lang w:val="es-SV"/>
        </w:rPr>
      </w:pPr>
    </w:p>
    <w:p w:rsidR="00D7243A" w:rsidRDefault="00D7243A" w:rsidP="00E028D6">
      <w:pPr>
        <w:jc w:val="center"/>
        <w:rPr>
          <w:rFonts w:ascii="Ubuntu" w:hAnsi="Ubuntu"/>
          <w:b/>
          <w:sz w:val="50"/>
          <w:szCs w:val="50"/>
          <w:lang w:val="es-SV"/>
        </w:rPr>
      </w:pPr>
    </w:p>
    <w:p w:rsidR="00D7243A" w:rsidRDefault="00D7243A" w:rsidP="00E028D6">
      <w:pPr>
        <w:jc w:val="center"/>
        <w:rPr>
          <w:rFonts w:ascii="Ubuntu" w:hAnsi="Ubuntu"/>
          <w:b/>
          <w:sz w:val="50"/>
          <w:szCs w:val="50"/>
          <w:lang w:val="es-SV"/>
        </w:rPr>
      </w:pPr>
    </w:p>
    <w:p w:rsidR="00D7243A" w:rsidRDefault="00D7243A" w:rsidP="00E028D6">
      <w:pPr>
        <w:jc w:val="center"/>
        <w:rPr>
          <w:rFonts w:ascii="Ubuntu" w:hAnsi="Ubuntu"/>
          <w:b/>
          <w:sz w:val="50"/>
          <w:szCs w:val="50"/>
          <w:lang w:val="es-SV"/>
        </w:rPr>
      </w:pPr>
    </w:p>
    <w:p w:rsidR="00D7243A" w:rsidRDefault="00D7243A" w:rsidP="00E028D6">
      <w:pPr>
        <w:jc w:val="center"/>
        <w:rPr>
          <w:rFonts w:ascii="Ubuntu" w:hAnsi="Ubuntu"/>
          <w:b/>
          <w:sz w:val="50"/>
          <w:szCs w:val="50"/>
          <w:lang w:val="es-SV"/>
        </w:rPr>
      </w:pPr>
    </w:p>
    <w:p w:rsidR="00E028D6" w:rsidRPr="0004249E" w:rsidRDefault="00E028D6" w:rsidP="00E028D6">
      <w:pPr>
        <w:jc w:val="center"/>
        <w:rPr>
          <w:rFonts w:ascii="Arial" w:hAnsi="Arial" w:cs="Arial"/>
          <w:b/>
          <w:sz w:val="50"/>
          <w:szCs w:val="50"/>
          <w:lang w:val="es-SV"/>
        </w:rPr>
      </w:pPr>
      <w:r w:rsidRPr="0004249E">
        <w:rPr>
          <w:rFonts w:ascii="Arial" w:hAnsi="Arial" w:cs="Arial"/>
          <w:b/>
          <w:sz w:val="50"/>
          <w:szCs w:val="50"/>
          <w:lang w:val="es-SV"/>
        </w:rPr>
        <w:t>Unidad de Auditoría Interna</w:t>
      </w:r>
    </w:p>
    <w:p w:rsidR="00E028D6" w:rsidRPr="0004249E" w:rsidRDefault="00E028D6" w:rsidP="00261E6C">
      <w:pPr>
        <w:rPr>
          <w:rFonts w:ascii="Arial" w:hAnsi="Arial" w:cs="Arial"/>
          <w:lang w:val="es-SV"/>
        </w:rPr>
      </w:pPr>
    </w:p>
    <w:p w:rsidR="00261E6C" w:rsidRPr="0004249E" w:rsidRDefault="00261E6C" w:rsidP="00261E6C">
      <w:pPr>
        <w:rPr>
          <w:rFonts w:ascii="Arial" w:hAnsi="Arial" w:cs="Arial"/>
          <w:lang w:val="es-SV"/>
        </w:rPr>
      </w:pPr>
    </w:p>
    <w:p w:rsidR="00261E6C" w:rsidRPr="0004249E" w:rsidRDefault="00E028D6" w:rsidP="00D23D80">
      <w:pPr>
        <w:spacing w:after="0" w:line="360" w:lineRule="auto"/>
        <w:jc w:val="center"/>
        <w:rPr>
          <w:rFonts w:ascii="Arial" w:hAnsi="Arial" w:cs="Arial"/>
          <w:b/>
          <w:sz w:val="40"/>
          <w:szCs w:val="50"/>
          <w:lang w:val="es-SV"/>
        </w:rPr>
      </w:pPr>
      <w:r w:rsidRPr="0004249E">
        <w:rPr>
          <w:rFonts w:ascii="Arial" w:hAnsi="Arial" w:cs="Arial"/>
          <w:b/>
          <w:sz w:val="40"/>
          <w:szCs w:val="50"/>
          <w:lang w:val="es-SV"/>
        </w:rPr>
        <w:t xml:space="preserve">INFORME DEL EXAMEN EXPECIAL A LOS INGRESOS Y EGRESOS </w:t>
      </w:r>
      <w:r w:rsidR="00B419A7" w:rsidRPr="0004249E">
        <w:rPr>
          <w:rFonts w:ascii="Arial" w:hAnsi="Arial" w:cs="Arial"/>
          <w:b/>
          <w:sz w:val="40"/>
          <w:szCs w:val="50"/>
          <w:lang w:val="es-SV"/>
        </w:rPr>
        <w:t>DE LA ALCALDÍA MUNICIPAL DE</w:t>
      </w:r>
      <w:r w:rsidRPr="0004249E">
        <w:rPr>
          <w:rFonts w:ascii="Arial" w:hAnsi="Arial" w:cs="Arial"/>
          <w:b/>
          <w:sz w:val="40"/>
          <w:szCs w:val="50"/>
          <w:lang w:val="es-SV"/>
        </w:rPr>
        <w:t xml:space="preserve"> TEPETITÁN</w:t>
      </w:r>
    </w:p>
    <w:p w:rsidR="00B419A7" w:rsidRPr="0004249E" w:rsidRDefault="00B419A7" w:rsidP="00D23D80">
      <w:pPr>
        <w:spacing w:after="0" w:line="360" w:lineRule="auto"/>
        <w:jc w:val="center"/>
        <w:rPr>
          <w:rFonts w:ascii="Arial" w:hAnsi="Arial" w:cs="Arial"/>
          <w:b/>
          <w:sz w:val="40"/>
          <w:szCs w:val="50"/>
          <w:lang w:val="es-SV"/>
        </w:rPr>
      </w:pPr>
    </w:p>
    <w:p w:rsidR="00E028D6" w:rsidRPr="0004249E" w:rsidRDefault="00E028D6" w:rsidP="00D23D80">
      <w:pPr>
        <w:spacing w:after="0" w:line="360" w:lineRule="auto"/>
        <w:jc w:val="center"/>
        <w:rPr>
          <w:rFonts w:ascii="Arial" w:hAnsi="Arial" w:cs="Arial"/>
          <w:b/>
          <w:sz w:val="30"/>
          <w:szCs w:val="50"/>
          <w:lang w:val="es-SV"/>
        </w:rPr>
      </w:pPr>
      <w:r w:rsidRPr="0004249E">
        <w:rPr>
          <w:rFonts w:ascii="Arial" w:hAnsi="Arial" w:cs="Arial"/>
          <w:b/>
          <w:sz w:val="30"/>
          <w:szCs w:val="50"/>
          <w:lang w:val="es-SV"/>
        </w:rPr>
        <w:t xml:space="preserve">PERIODO DEL 01 AL </w:t>
      </w:r>
      <w:r w:rsidR="0017073B" w:rsidRPr="0004249E">
        <w:rPr>
          <w:rFonts w:ascii="Arial" w:hAnsi="Arial" w:cs="Arial"/>
          <w:b/>
          <w:sz w:val="30"/>
          <w:szCs w:val="50"/>
          <w:lang w:val="es-SV"/>
        </w:rPr>
        <w:t>30</w:t>
      </w:r>
      <w:r w:rsidRPr="0004249E">
        <w:rPr>
          <w:rFonts w:ascii="Arial" w:hAnsi="Arial" w:cs="Arial"/>
          <w:b/>
          <w:sz w:val="30"/>
          <w:szCs w:val="50"/>
          <w:lang w:val="es-SV"/>
        </w:rPr>
        <w:t xml:space="preserve"> DE </w:t>
      </w:r>
      <w:r w:rsidR="0017073B" w:rsidRPr="0004249E">
        <w:rPr>
          <w:rFonts w:ascii="Arial" w:hAnsi="Arial" w:cs="Arial"/>
          <w:b/>
          <w:sz w:val="30"/>
          <w:szCs w:val="50"/>
          <w:lang w:val="es-SV"/>
        </w:rPr>
        <w:t>ABRIL</w:t>
      </w:r>
      <w:r w:rsidRPr="0004249E">
        <w:rPr>
          <w:rFonts w:ascii="Arial" w:hAnsi="Arial" w:cs="Arial"/>
          <w:b/>
          <w:sz w:val="30"/>
          <w:szCs w:val="50"/>
          <w:lang w:val="es-SV"/>
        </w:rPr>
        <w:t xml:space="preserve"> DE 2020</w:t>
      </w:r>
    </w:p>
    <w:p w:rsidR="00261E6C" w:rsidRPr="0004249E" w:rsidRDefault="00261E6C" w:rsidP="00261E6C">
      <w:pPr>
        <w:jc w:val="center"/>
        <w:rPr>
          <w:rFonts w:ascii="Arial" w:hAnsi="Arial" w:cs="Arial"/>
          <w:lang w:val="es-SV"/>
        </w:rPr>
      </w:pPr>
    </w:p>
    <w:p w:rsidR="00261E6C" w:rsidRPr="0004249E" w:rsidRDefault="00261E6C" w:rsidP="00261E6C">
      <w:pPr>
        <w:jc w:val="center"/>
        <w:rPr>
          <w:rFonts w:ascii="Arial" w:hAnsi="Arial" w:cs="Arial"/>
          <w:lang w:val="es-SV"/>
        </w:rPr>
      </w:pPr>
    </w:p>
    <w:p w:rsidR="00261E6C" w:rsidRPr="0004249E" w:rsidRDefault="00261E6C" w:rsidP="00261E6C">
      <w:pPr>
        <w:jc w:val="center"/>
        <w:rPr>
          <w:rFonts w:ascii="Arial" w:hAnsi="Arial" w:cs="Arial"/>
          <w:b/>
          <w:lang w:val="es-SV"/>
        </w:rPr>
      </w:pPr>
    </w:p>
    <w:p w:rsidR="00261E6C" w:rsidRPr="0004249E" w:rsidRDefault="00261E6C" w:rsidP="00261E6C">
      <w:pPr>
        <w:spacing w:after="0"/>
        <w:jc w:val="center"/>
        <w:rPr>
          <w:rFonts w:ascii="Arial" w:hAnsi="Arial" w:cs="Arial"/>
          <w:b/>
          <w:sz w:val="32"/>
          <w:szCs w:val="30"/>
          <w:lang w:val="es-SV" w:eastAsia="es-SV"/>
        </w:rPr>
      </w:pPr>
      <w:r w:rsidRPr="0004249E">
        <w:rPr>
          <w:rFonts w:ascii="Arial" w:hAnsi="Arial" w:cs="Arial"/>
          <w:b/>
          <w:sz w:val="32"/>
          <w:szCs w:val="30"/>
          <w:lang w:val="es-SV" w:eastAsia="es-SV"/>
        </w:rPr>
        <w:t xml:space="preserve">Tepetitán, </w:t>
      </w:r>
      <w:r w:rsidR="0017073B" w:rsidRPr="0004249E">
        <w:rPr>
          <w:rFonts w:ascii="Arial" w:hAnsi="Arial" w:cs="Arial"/>
          <w:b/>
          <w:sz w:val="32"/>
          <w:szCs w:val="30"/>
          <w:lang w:val="es-SV" w:eastAsia="es-SV"/>
        </w:rPr>
        <w:t>septiembre</w:t>
      </w:r>
      <w:r w:rsidRPr="0004249E">
        <w:rPr>
          <w:rFonts w:ascii="Arial" w:hAnsi="Arial" w:cs="Arial"/>
          <w:b/>
          <w:sz w:val="32"/>
          <w:szCs w:val="30"/>
          <w:lang w:val="es-SV" w:eastAsia="es-SV"/>
        </w:rPr>
        <w:t xml:space="preserve"> de 2020</w:t>
      </w:r>
    </w:p>
    <w:p w:rsidR="00261E6C" w:rsidRPr="0004249E" w:rsidRDefault="00261E6C">
      <w:pPr>
        <w:rPr>
          <w:rFonts w:ascii="Arial" w:hAnsi="Arial" w:cs="Arial"/>
          <w:sz w:val="24"/>
          <w:szCs w:val="24"/>
          <w:lang w:val="es-SV"/>
        </w:rPr>
        <w:sectPr w:rsidR="00261E6C" w:rsidRPr="0004249E">
          <w:pgSz w:w="12240" w:h="15840"/>
          <w:pgMar w:top="1417" w:right="1701" w:bottom="1417" w:left="1701" w:header="708" w:footer="708" w:gutter="0"/>
          <w:cols w:space="708"/>
          <w:docGrid w:linePitch="360"/>
        </w:sectPr>
      </w:pPr>
    </w:p>
    <w:p w:rsidR="00261E6C" w:rsidRPr="0004249E" w:rsidRDefault="007549CA">
      <w:pPr>
        <w:rPr>
          <w:rFonts w:ascii="Arial" w:hAnsi="Arial" w:cs="Arial"/>
          <w:sz w:val="24"/>
          <w:szCs w:val="24"/>
          <w:lang w:val="es-SV"/>
        </w:rPr>
      </w:pPr>
      <w:r w:rsidRPr="0004249E">
        <w:rPr>
          <w:rFonts w:ascii="Arial" w:hAnsi="Arial" w:cs="Arial"/>
          <w:sz w:val="24"/>
          <w:szCs w:val="24"/>
          <w:lang w:val="es-SV"/>
        </w:rPr>
        <w:lastRenderedPageBreak/>
        <w:t>INDICE</w:t>
      </w:r>
    </w:p>
    <w:p w:rsidR="007549CA" w:rsidRPr="0004249E" w:rsidRDefault="007549CA" w:rsidP="007549CA">
      <w:pPr>
        <w:rPr>
          <w:rFonts w:ascii="Arial" w:hAnsi="Arial" w:cs="Arial"/>
          <w:sz w:val="24"/>
          <w:szCs w:val="24"/>
          <w:lang w:val="es-SV"/>
        </w:rPr>
      </w:pPr>
    </w:p>
    <w:sdt>
      <w:sdtPr>
        <w:rPr>
          <w:rFonts w:ascii="Arial" w:eastAsiaTheme="minorHAnsi" w:hAnsi="Arial" w:cs="Arial"/>
          <w:color w:val="auto"/>
          <w:sz w:val="22"/>
          <w:szCs w:val="22"/>
          <w:lang w:val="es-ES" w:eastAsia="en-US"/>
        </w:rPr>
        <w:id w:val="-378242810"/>
        <w:docPartObj>
          <w:docPartGallery w:val="Table of Contents"/>
          <w:docPartUnique/>
        </w:docPartObj>
      </w:sdtPr>
      <w:sdtEndPr>
        <w:rPr>
          <w:b/>
          <w:bCs/>
          <w:sz w:val="24"/>
          <w:szCs w:val="24"/>
        </w:rPr>
      </w:sdtEndPr>
      <w:sdtContent>
        <w:p w:rsidR="00F8168C" w:rsidRPr="0004249E" w:rsidRDefault="00F8168C">
          <w:pPr>
            <w:pStyle w:val="TtuloTDC"/>
            <w:rPr>
              <w:rFonts w:ascii="Arial" w:hAnsi="Arial" w:cs="Arial"/>
            </w:rPr>
          </w:pPr>
          <w:r w:rsidRPr="0004249E">
            <w:rPr>
              <w:rFonts w:ascii="Arial" w:hAnsi="Arial" w:cs="Arial"/>
              <w:lang w:val="es-ES"/>
            </w:rPr>
            <w:t>Contenido</w:t>
          </w:r>
        </w:p>
        <w:p w:rsidR="00AB3FF4" w:rsidRPr="0004249E" w:rsidRDefault="00F8168C">
          <w:pPr>
            <w:pStyle w:val="TDC1"/>
            <w:tabs>
              <w:tab w:val="left" w:pos="440"/>
              <w:tab w:val="right" w:leader="dot" w:pos="8828"/>
            </w:tabs>
            <w:rPr>
              <w:rFonts w:ascii="Arial" w:eastAsiaTheme="minorEastAsia" w:hAnsi="Arial" w:cs="Arial"/>
              <w:noProof/>
              <w:lang w:val="es-SV" w:eastAsia="es-SV"/>
            </w:rPr>
          </w:pPr>
          <w:r w:rsidRPr="0004249E">
            <w:rPr>
              <w:rFonts w:ascii="Arial" w:hAnsi="Arial" w:cs="Arial"/>
              <w:sz w:val="24"/>
              <w:szCs w:val="24"/>
            </w:rPr>
            <w:fldChar w:fldCharType="begin"/>
          </w:r>
          <w:r w:rsidRPr="0004249E">
            <w:rPr>
              <w:rFonts w:ascii="Arial" w:hAnsi="Arial" w:cs="Arial"/>
              <w:sz w:val="24"/>
              <w:szCs w:val="24"/>
            </w:rPr>
            <w:instrText xml:space="preserve"> TOC \o "1-3" \h \z \u </w:instrText>
          </w:r>
          <w:r w:rsidRPr="0004249E">
            <w:rPr>
              <w:rFonts w:ascii="Arial" w:hAnsi="Arial" w:cs="Arial"/>
              <w:sz w:val="24"/>
              <w:szCs w:val="24"/>
            </w:rPr>
            <w:fldChar w:fldCharType="separate"/>
          </w:r>
          <w:hyperlink w:anchor="_Toc50727004" w:history="1">
            <w:r w:rsidR="00AB3FF4" w:rsidRPr="0004249E">
              <w:rPr>
                <w:rStyle w:val="Hipervnculo"/>
                <w:rFonts w:ascii="Arial" w:hAnsi="Arial" w:cs="Arial"/>
                <w:b/>
                <w:bCs/>
                <w:noProof/>
                <w:lang w:val="es-SV"/>
              </w:rPr>
              <w:t>I.</w:t>
            </w:r>
            <w:r w:rsidR="00AB3FF4" w:rsidRPr="0004249E">
              <w:rPr>
                <w:rFonts w:ascii="Arial" w:eastAsiaTheme="minorEastAsia" w:hAnsi="Arial" w:cs="Arial"/>
                <w:noProof/>
                <w:lang w:val="es-SV" w:eastAsia="es-SV"/>
              </w:rPr>
              <w:tab/>
            </w:r>
            <w:r w:rsidR="00AB3FF4" w:rsidRPr="0004249E">
              <w:rPr>
                <w:rStyle w:val="Hipervnculo"/>
                <w:rFonts w:ascii="Arial" w:hAnsi="Arial" w:cs="Arial"/>
                <w:b/>
                <w:bCs/>
                <w:noProof/>
                <w:lang w:val="es-SV"/>
              </w:rPr>
              <w:t>Objetivos de la Auditoría</w:t>
            </w:r>
            <w:r w:rsidR="00AB3FF4" w:rsidRPr="0004249E">
              <w:rPr>
                <w:rFonts w:ascii="Arial" w:hAnsi="Arial" w:cs="Arial"/>
                <w:noProof/>
                <w:webHidden/>
              </w:rPr>
              <w:tab/>
            </w:r>
            <w:r w:rsidR="00AB3FF4" w:rsidRPr="0004249E">
              <w:rPr>
                <w:rFonts w:ascii="Arial" w:hAnsi="Arial" w:cs="Arial"/>
                <w:noProof/>
                <w:webHidden/>
              </w:rPr>
              <w:fldChar w:fldCharType="begin"/>
            </w:r>
            <w:r w:rsidR="00AB3FF4" w:rsidRPr="0004249E">
              <w:rPr>
                <w:rFonts w:ascii="Arial" w:hAnsi="Arial" w:cs="Arial"/>
                <w:noProof/>
                <w:webHidden/>
              </w:rPr>
              <w:instrText xml:space="preserve"> PAGEREF _Toc50727004 \h </w:instrText>
            </w:r>
            <w:r w:rsidR="00AB3FF4" w:rsidRPr="0004249E">
              <w:rPr>
                <w:rFonts w:ascii="Arial" w:hAnsi="Arial" w:cs="Arial"/>
                <w:noProof/>
                <w:webHidden/>
              </w:rPr>
            </w:r>
            <w:r w:rsidR="00AB3FF4" w:rsidRPr="0004249E">
              <w:rPr>
                <w:rFonts w:ascii="Arial" w:hAnsi="Arial" w:cs="Arial"/>
                <w:noProof/>
                <w:webHidden/>
              </w:rPr>
              <w:fldChar w:fldCharType="separate"/>
            </w:r>
            <w:r w:rsidR="0004249E">
              <w:rPr>
                <w:rFonts w:ascii="Arial" w:hAnsi="Arial" w:cs="Arial"/>
                <w:noProof/>
                <w:webHidden/>
              </w:rPr>
              <w:t>3</w:t>
            </w:r>
            <w:r w:rsidR="00AB3FF4" w:rsidRPr="0004249E">
              <w:rPr>
                <w:rFonts w:ascii="Arial" w:hAnsi="Arial" w:cs="Arial"/>
                <w:noProof/>
                <w:webHidden/>
              </w:rPr>
              <w:fldChar w:fldCharType="end"/>
            </w:r>
          </w:hyperlink>
        </w:p>
        <w:p w:rsidR="00AB3FF4" w:rsidRPr="0004249E" w:rsidRDefault="0004249E">
          <w:pPr>
            <w:pStyle w:val="TDC1"/>
            <w:tabs>
              <w:tab w:val="left" w:pos="440"/>
              <w:tab w:val="right" w:leader="dot" w:pos="8828"/>
            </w:tabs>
            <w:rPr>
              <w:rFonts w:ascii="Arial" w:eastAsiaTheme="minorEastAsia" w:hAnsi="Arial" w:cs="Arial"/>
              <w:noProof/>
              <w:lang w:val="es-SV" w:eastAsia="es-SV"/>
            </w:rPr>
          </w:pPr>
          <w:hyperlink w:anchor="_Toc50727005" w:history="1">
            <w:r w:rsidR="00AB3FF4" w:rsidRPr="0004249E">
              <w:rPr>
                <w:rStyle w:val="Hipervnculo"/>
                <w:rFonts w:ascii="Arial" w:hAnsi="Arial" w:cs="Arial"/>
                <w:b/>
                <w:bCs/>
                <w:noProof/>
                <w:lang w:val="es-SV"/>
              </w:rPr>
              <w:t>II.</w:t>
            </w:r>
            <w:r w:rsidR="00AB3FF4" w:rsidRPr="0004249E">
              <w:rPr>
                <w:rFonts w:ascii="Arial" w:eastAsiaTheme="minorEastAsia" w:hAnsi="Arial" w:cs="Arial"/>
                <w:noProof/>
                <w:lang w:val="es-SV" w:eastAsia="es-SV"/>
              </w:rPr>
              <w:tab/>
            </w:r>
            <w:r w:rsidR="00AB3FF4" w:rsidRPr="0004249E">
              <w:rPr>
                <w:rStyle w:val="Hipervnculo"/>
                <w:rFonts w:ascii="Arial" w:hAnsi="Arial" w:cs="Arial"/>
                <w:b/>
                <w:bCs/>
                <w:noProof/>
                <w:lang w:val="es-SV"/>
              </w:rPr>
              <w:t>Alcance de la Auditoría.</w:t>
            </w:r>
            <w:r w:rsidR="00AB3FF4" w:rsidRPr="0004249E">
              <w:rPr>
                <w:rFonts w:ascii="Arial" w:hAnsi="Arial" w:cs="Arial"/>
                <w:noProof/>
                <w:webHidden/>
              </w:rPr>
              <w:tab/>
            </w:r>
            <w:r w:rsidR="00AB3FF4" w:rsidRPr="0004249E">
              <w:rPr>
                <w:rFonts w:ascii="Arial" w:hAnsi="Arial" w:cs="Arial"/>
                <w:noProof/>
                <w:webHidden/>
              </w:rPr>
              <w:fldChar w:fldCharType="begin"/>
            </w:r>
            <w:r w:rsidR="00AB3FF4" w:rsidRPr="0004249E">
              <w:rPr>
                <w:rFonts w:ascii="Arial" w:hAnsi="Arial" w:cs="Arial"/>
                <w:noProof/>
                <w:webHidden/>
              </w:rPr>
              <w:instrText xml:space="preserve"> PAGEREF _Toc50727005 \h </w:instrText>
            </w:r>
            <w:r w:rsidR="00AB3FF4" w:rsidRPr="0004249E">
              <w:rPr>
                <w:rFonts w:ascii="Arial" w:hAnsi="Arial" w:cs="Arial"/>
                <w:noProof/>
                <w:webHidden/>
              </w:rPr>
            </w:r>
            <w:r w:rsidR="00AB3FF4" w:rsidRPr="0004249E">
              <w:rPr>
                <w:rFonts w:ascii="Arial" w:hAnsi="Arial" w:cs="Arial"/>
                <w:noProof/>
                <w:webHidden/>
              </w:rPr>
              <w:fldChar w:fldCharType="separate"/>
            </w:r>
            <w:r>
              <w:rPr>
                <w:rFonts w:ascii="Arial" w:hAnsi="Arial" w:cs="Arial"/>
                <w:noProof/>
                <w:webHidden/>
              </w:rPr>
              <w:t>3</w:t>
            </w:r>
            <w:r w:rsidR="00AB3FF4" w:rsidRPr="0004249E">
              <w:rPr>
                <w:rFonts w:ascii="Arial" w:hAnsi="Arial" w:cs="Arial"/>
                <w:noProof/>
                <w:webHidden/>
              </w:rPr>
              <w:fldChar w:fldCharType="end"/>
            </w:r>
          </w:hyperlink>
        </w:p>
        <w:p w:rsidR="00AB3FF4" w:rsidRPr="0004249E" w:rsidRDefault="0004249E">
          <w:pPr>
            <w:pStyle w:val="TDC1"/>
            <w:tabs>
              <w:tab w:val="left" w:pos="660"/>
              <w:tab w:val="right" w:leader="dot" w:pos="8828"/>
            </w:tabs>
            <w:rPr>
              <w:rFonts w:ascii="Arial" w:eastAsiaTheme="minorEastAsia" w:hAnsi="Arial" w:cs="Arial"/>
              <w:noProof/>
              <w:lang w:val="es-SV" w:eastAsia="es-SV"/>
            </w:rPr>
          </w:pPr>
          <w:hyperlink w:anchor="_Toc50727006" w:history="1">
            <w:r w:rsidR="00AB3FF4" w:rsidRPr="0004249E">
              <w:rPr>
                <w:rStyle w:val="Hipervnculo"/>
                <w:rFonts w:ascii="Arial" w:hAnsi="Arial" w:cs="Arial"/>
                <w:b/>
                <w:bCs/>
                <w:noProof/>
                <w:lang w:val="es-MX"/>
              </w:rPr>
              <w:t>III.</w:t>
            </w:r>
            <w:r w:rsidR="00AB3FF4" w:rsidRPr="0004249E">
              <w:rPr>
                <w:rFonts w:ascii="Arial" w:eastAsiaTheme="minorEastAsia" w:hAnsi="Arial" w:cs="Arial"/>
                <w:noProof/>
                <w:lang w:val="es-SV" w:eastAsia="es-SV"/>
              </w:rPr>
              <w:tab/>
            </w:r>
            <w:r w:rsidR="00AB3FF4" w:rsidRPr="0004249E">
              <w:rPr>
                <w:rStyle w:val="Hipervnculo"/>
                <w:rFonts w:ascii="Arial" w:hAnsi="Arial" w:cs="Arial"/>
                <w:b/>
                <w:bCs/>
                <w:noProof/>
                <w:lang w:val="es-MX"/>
              </w:rPr>
              <w:t>Procedimiento de Auditoría Aplicados.</w:t>
            </w:r>
            <w:r w:rsidR="00AB3FF4" w:rsidRPr="0004249E">
              <w:rPr>
                <w:rFonts w:ascii="Arial" w:hAnsi="Arial" w:cs="Arial"/>
                <w:noProof/>
                <w:webHidden/>
              </w:rPr>
              <w:tab/>
            </w:r>
            <w:r w:rsidR="00AB3FF4" w:rsidRPr="0004249E">
              <w:rPr>
                <w:rFonts w:ascii="Arial" w:hAnsi="Arial" w:cs="Arial"/>
                <w:noProof/>
                <w:webHidden/>
              </w:rPr>
              <w:fldChar w:fldCharType="begin"/>
            </w:r>
            <w:r w:rsidR="00AB3FF4" w:rsidRPr="0004249E">
              <w:rPr>
                <w:rFonts w:ascii="Arial" w:hAnsi="Arial" w:cs="Arial"/>
                <w:noProof/>
                <w:webHidden/>
              </w:rPr>
              <w:instrText xml:space="preserve"> PAGEREF _Toc50727006 \h </w:instrText>
            </w:r>
            <w:r w:rsidR="00AB3FF4" w:rsidRPr="0004249E">
              <w:rPr>
                <w:rFonts w:ascii="Arial" w:hAnsi="Arial" w:cs="Arial"/>
                <w:noProof/>
                <w:webHidden/>
              </w:rPr>
            </w:r>
            <w:r w:rsidR="00AB3FF4" w:rsidRPr="0004249E">
              <w:rPr>
                <w:rFonts w:ascii="Arial" w:hAnsi="Arial" w:cs="Arial"/>
                <w:noProof/>
                <w:webHidden/>
              </w:rPr>
              <w:fldChar w:fldCharType="separate"/>
            </w:r>
            <w:r>
              <w:rPr>
                <w:rFonts w:ascii="Arial" w:hAnsi="Arial" w:cs="Arial"/>
                <w:noProof/>
                <w:webHidden/>
              </w:rPr>
              <w:t>4</w:t>
            </w:r>
            <w:r w:rsidR="00AB3FF4" w:rsidRPr="0004249E">
              <w:rPr>
                <w:rFonts w:ascii="Arial" w:hAnsi="Arial" w:cs="Arial"/>
                <w:noProof/>
                <w:webHidden/>
              </w:rPr>
              <w:fldChar w:fldCharType="end"/>
            </w:r>
          </w:hyperlink>
        </w:p>
        <w:p w:rsidR="00AB3FF4" w:rsidRPr="0004249E" w:rsidRDefault="0004249E">
          <w:pPr>
            <w:pStyle w:val="TDC1"/>
            <w:tabs>
              <w:tab w:val="left" w:pos="660"/>
              <w:tab w:val="right" w:leader="dot" w:pos="8828"/>
            </w:tabs>
            <w:rPr>
              <w:rFonts w:ascii="Arial" w:eastAsiaTheme="minorEastAsia" w:hAnsi="Arial" w:cs="Arial"/>
              <w:noProof/>
              <w:lang w:val="es-SV" w:eastAsia="es-SV"/>
            </w:rPr>
          </w:pPr>
          <w:hyperlink w:anchor="_Toc50727007" w:history="1">
            <w:r w:rsidR="00AB3FF4" w:rsidRPr="0004249E">
              <w:rPr>
                <w:rStyle w:val="Hipervnculo"/>
                <w:rFonts w:ascii="Arial" w:hAnsi="Arial" w:cs="Arial"/>
                <w:b/>
                <w:bCs/>
                <w:noProof/>
                <w:lang w:val="es-MX"/>
              </w:rPr>
              <w:t>IV.</w:t>
            </w:r>
            <w:r w:rsidR="00AB3FF4" w:rsidRPr="0004249E">
              <w:rPr>
                <w:rFonts w:ascii="Arial" w:eastAsiaTheme="minorEastAsia" w:hAnsi="Arial" w:cs="Arial"/>
                <w:noProof/>
                <w:lang w:val="es-SV" w:eastAsia="es-SV"/>
              </w:rPr>
              <w:tab/>
            </w:r>
            <w:r w:rsidR="00AB3FF4" w:rsidRPr="0004249E">
              <w:rPr>
                <w:rStyle w:val="Hipervnculo"/>
                <w:rFonts w:ascii="Arial" w:hAnsi="Arial" w:cs="Arial"/>
                <w:b/>
                <w:bCs/>
                <w:noProof/>
                <w:lang w:val="es-MX"/>
              </w:rPr>
              <w:t>Resultados de la Auditoría.</w:t>
            </w:r>
            <w:r w:rsidR="00AB3FF4" w:rsidRPr="0004249E">
              <w:rPr>
                <w:rFonts w:ascii="Arial" w:hAnsi="Arial" w:cs="Arial"/>
                <w:noProof/>
                <w:webHidden/>
              </w:rPr>
              <w:tab/>
            </w:r>
            <w:r w:rsidR="00AB3FF4" w:rsidRPr="0004249E">
              <w:rPr>
                <w:rFonts w:ascii="Arial" w:hAnsi="Arial" w:cs="Arial"/>
                <w:noProof/>
                <w:webHidden/>
              </w:rPr>
              <w:fldChar w:fldCharType="begin"/>
            </w:r>
            <w:r w:rsidR="00AB3FF4" w:rsidRPr="0004249E">
              <w:rPr>
                <w:rFonts w:ascii="Arial" w:hAnsi="Arial" w:cs="Arial"/>
                <w:noProof/>
                <w:webHidden/>
              </w:rPr>
              <w:instrText xml:space="preserve"> PAGEREF _Toc50727007 \h </w:instrText>
            </w:r>
            <w:r w:rsidR="00AB3FF4" w:rsidRPr="0004249E">
              <w:rPr>
                <w:rFonts w:ascii="Arial" w:hAnsi="Arial" w:cs="Arial"/>
                <w:noProof/>
                <w:webHidden/>
              </w:rPr>
            </w:r>
            <w:r w:rsidR="00AB3FF4" w:rsidRPr="0004249E">
              <w:rPr>
                <w:rFonts w:ascii="Arial" w:hAnsi="Arial" w:cs="Arial"/>
                <w:noProof/>
                <w:webHidden/>
              </w:rPr>
              <w:fldChar w:fldCharType="separate"/>
            </w:r>
            <w:r>
              <w:rPr>
                <w:rFonts w:ascii="Arial" w:hAnsi="Arial" w:cs="Arial"/>
                <w:noProof/>
                <w:webHidden/>
              </w:rPr>
              <w:t>4</w:t>
            </w:r>
            <w:r w:rsidR="00AB3FF4" w:rsidRPr="0004249E">
              <w:rPr>
                <w:rFonts w:ascii="Arial" w:hAnsi="Arial" w:cs="Arial"/>
                <w:noProof/>
                <w:webHidden/>
              </w:rPr>
              <w:fldChar w:fldCharType="end"/>
            </w:r>
          </w:hyperlink>
        </w:p>
        <w:p w:rsidR="00AB3FF4" w:rsidRPr="0004249E" w:rsidRDefault="0004249E">
          <w:pPr>
            <w:pStyle w:val="TDC1"/>
            <w:tabs>
              <w:tab w:val="left" w:pos="440"/>
              <w:tab w:val="right" w:leader="dot" w:pos="8828"/>
            </w:tabs>
            <w:rPr>
              <w:rFonts w:ascii="Arial" w:eastAsiaTheme="minorEastAsia" w:hAnsi="Arial" w:cs="Arial"/>
              <w:noProof/>
              <w:lang w:val="es-SV" w:eastAsia="es-SV"/>
            </w:rPr>
          </w:pPr>
          <w:hyperlink w:anchor="_Toc50727008" w:history="1">
            <w:r w:rsidR="00AB3FF4" w:rsidRPr="0004249E">
              <w:rPr>
                <w:rStyle w:val="Hipervnculo"/>
                <w:rFonts w:ascii="Arial" w:hAnsi="Arial" w:cs="Arial"/>
                <w:b/>
                <w:bCs/>
                <w:noProof/>
                <w:lang w:val="es-MX"/>
              </w:rPr>
              <w:t>V.</w:t>
            </w:r>
            <w:r w:rsidR="00AB3FF4" w:rsidRPr="0004249E">
              <w:rPr>
                <w:rFonts w:ascii="Arial" w:eastAsiaTheme="minorEastAsia" w:hAnsi="Arial" w:cs="Arial"/>
                <w:noProof/>
                <w:lang w:val="es-SV" w:eastAsia="es-SV"/>
              </w:rPr>
              <w:tab/>
            </w:r>
            <w:r w:rsidR="00AB3FF4" w:rsidRPr="0004249E">
              <w:rPr>
                <w:rStyle w:val="Hipervnculo"/>
                <w:rFonts w:ascii="Arial" w:hAnsi="Arial" w:cs="Arial"/>
                <w:b/>
                <w:bCs/>
                <w:noProof/>
                <w:lang w:val="es-MX"/>
              </w:rPr>
              <w:t>Seguimiento a las recomendaciones de auditorías Anteriores.</w:t>
            </w:r>
            <w:r w:rsidR="00AB3FF4" w:rsidRPr="0004249E">
              <w:rPr>
                <w:rFonts w:ascii="Arial" w:hAnsi="Arial" w:cs="Arial"/>
                <w:noProof/>
                <w:webHidden/>
              </w:rPr>
              <w:tab/>
            </w:r>
            <w:r w:rsidR="00AB3FF4" w:rsidRPr="0004249E">
              <w:rPr>
                <w:rFonts w:ascii="Arial" w:hAnsi="Arial" w:cs="Arial"/>
                <w:noProof/>
                <w:webHidden/>
              </w:rPr>
              <w:fldChar w:fldCharType="begin"/>
            </w:r>
            <w:r w:rsidR="00AB3FF4" w:rsidRPr="0004249E">
              <w:rPr>
                <w:rFonts w:ascii="Arial" w:hAnsi="Arial" w:cs="Arial"/>
                <w:noProof/>
                <w:webHidden/>
              </w:rPr>
              <w:instrText xml:space="preserve"> PAGEREF _Toc50727008 \h </w:instrText>
            </w:r>
            <w:r w:rsidR="00AB3FF4" w:rsidRPr="0004249E">
              <w:rPr>
                <w:rFonts w:ascii="Arial" w:hAnsi="Arial" w:cs="Arial"/>
                <w:noProof/>
                <w:webHidden/>
              </w:rPr>
            </w:r>
            <w:r w:rsidR="00AB3FF4" w:rsidRPr="0004249E">
              <w:rPr>
                <w:rFonts w:ascii="Arial" w:hAnsi="Arial" w:cs="Arial"/>
                <w:noProof/>
                <w:webHidden/>
              </w:rPr>
              <w:fldChar w:fldCharType="separate"/>
            </w:r>
            <w:r>
              <w:rPr>
                <w:rFonts w:ascii="Arial" w:hAnsi="Arial" w:cs="Arial"/>
                <w:noProof/>
                <w:webHidden/>
              </w:rPr>
              <w:t>9</w:t>
            </w:r>
            <w:r w:rsidR="00AB3FF4" w:rsidRPr="0004249E">
              <w:rPr>
                <w:rFonts w:ascii="Arial" w:hAnsi="Arial" w:cs="Arial"/>
                <w:noProof/>
                <w:webHidden/>
              </w:rPr>
              <w:fldChar w:fldCharType="end"/>
            </w:r>
          </w:hyperlink>
        </w:p>
        <w:p w:rsidR="00AB3FF4" w:rsidRPr="0004249E" w:rsidRDefault="0004249E">
          <w:pPr>
            <w:pStyle w:val="TDC1"/>
            <w:tabs>
              <w:tab w:val="left" w:pos="660"/>
              <w:tab w:val="right" w:leader="dot" w:pos="8828"/>
            </w:tabs>
            <w:rPr>
              <w:rFonts w:ascii="Arial" w:eastAsiaTheme="minorEastAsia" w:hAnsi="Arial" w:cs="Arial"/>
              <w:noProof/>
              <w:lang w:val="es-SV" w:eastAsia="es-SV"/>
            </w:rPr>
          </w:pPr>
          <w:hyperlink w:anchor="_Toc50727009" w:history="1">
            <w:r w:rsidR="00AB3FF4" w:rsidRPr="0004249E">
              <w:rPr>
                <w:rStyle w:val="Hipervnculo"/>
                <w:rFonts w:ascii="Arial" w:hAnsi="Arial" w:cs="Arial"/>
                <w:b/>
                <w:bCs/>
                <w:noProof/>
                <w:lang w:val="es-MX"/>
              </w:rPr>
              <w:t>VI.</w:t>
            </w:r>
            <w:r w:rsidR="00AB3FF4" w:rsidRPr="0004249E">
              <w:rPr>
                <w:rFonts w:ascii="Arial" w:eastAsiaTheme="minorEastAsia" w:hAnsi="Arial" w:cs="Arial"/>
                <w:noProof/>
                <w:lang w:val="es-SV" w:eastAsia="es-SV"/>
              </w:rPr>
              <w:tab/>
            </w:r>
            <w:r w:rsidR="00AB3FF4" w:rsidRPr="0004249E">
              <w:rPr>
                <w:rStyle w:val="Hipervnculo"/>
                <w:rFonts w:ascii="Arial" w:hAnsi="Arial" w:cs="Arial"/>
                <w:b/>
                <w:bCs/>
                <w:noProof/>
                <w:lang w:val="es-MX"/>
              </w:rPr>
              <w:t>Recomendaciones de Auditoría</w:t>
            </w:r>
            <w:r w:rsidR="00AB3FF4" w:rsidRPr="0004249E">
              <w:rPr>
                <w:rFonts w:ascii="Arial" w:hAnsi="Arial" w:cs="Arial"/>
                <w:noProof/>
                <w:webHidden/>
              </w:rPr>
              <w:tab/>
            </w:r>
            <w:r w:rsidR="00AB3FF4" w:rsidRPr="0004249E">
              <w:rPr>
                <w:rFonts w:ascii="Arial" w:hAnsi="Arial" w:cs="Arial"/>
                <w:noProof/>
                <w:webHidden/>
              </w:rPr>
              <w:fldChar w:fldCharType="begin"/>
            </w:r>
            <w:r w:rsidR="00AB3FF4" w:rsidRPr="0004249E">
              <w:rPr>
                <w:rFonts w:ascii="Arial" w:hAnsi="Arial" w:cs="Arial"/>
                <w:noProof/>
                <w:webHidden/>
              </w:rPr>
              <w:instrText xml:space="preserve"> PAGEREF _Toc50727009 \h </w:instrText>
            </w:r>
            <w:r w:rsidR="00AB3FF4" w:rsidRPr="0004249E">
              <w:rPr>
                <w:rFonts w:ascii="Arial" w:hAnsi="Arial" w:cs="Arial"/>
                <w:noProof/>
                <w:webHidden/>
              </w:rPr>
            </w:r>
            <w:r w:rsidR="00AB3FF4" w:rsidRPr="0004249E">
              <w:rPr>
                <w:rFonts w:ascii="Arial" w:hAnsi="Arial" w:cs="Arial"/>
                <w:noProof/>
                <w:webHidden/>
              </w:rPr>
              <w:fldChar w:fldCharType="separate"/>
            </w:r>
            <w:r>
              <w:rPr>
                <w:rFonts w:ascii="Arial" w:hAnsi="Arial" w:cs="Arial"/>
                <w:noProof/>
                <w:webHidden/>
              </w:rPr>
              <w:t>9</w:t>
            </w:r>
            <w:r w:rsidR="00AB3FF4" w:rsidRPr="0004249E">
              <w:rPr>
                <w:rFonts w:ascii="Arial" w:hAnsi="Arial" w:cs="Arial"/>
                <w:noProof/>
                <w:webHidden/>
              </w:rPr>
              <w:fldChar w:fldCharType="end"/>
            </w:r>
          </w:hyperlink>
        </w:p>
        <w:p w:rsidR="00AB3FF4" w:rsidRPr="0004249E" w:rsidRDefault="0004249E">
          <w:pPr>
            <w:pStyle w:val="TDC1"/>
            <w:tabs>
              <w:tab w:val="left" w:pos="660"/>
              <w:tab w:val="right" w:leader="dot" w:pos="8828"/>
            </w:tabs>
            <w:rPr>
              <w:rFonts w:ascii="Arial" w:eastAsiaTheme="minorEastAsia" w:hAnsi="Arial" w:cs="Arial"/>
              <w:noProof/>
              <w:lang w:val="es-SV" w:eastAsia="es-SV"/>
            </w:rPr>
          </w:pPr>
          <w:hyperlink w:anchor="_Toc50727010" w:history="1">
            <w:r w:rsidR="00AB3FF4" w:rsidRPr="0004249E">
              <w:rPr>
                <w:rStyle w:val="Hipervnculo"/>
                <w:rFonts w:ascii="Arial" w:hAnsi="Arial" w:cs="Arial"/>
                <w:b/>
                <w:bCs/>
                <w:noProof/>
                <w:lang w:val="es-MX"/>
              </w:rPr>
              <w:t>VII.</w:t>
            </w:r>
            <w:r w:rsidR="00AB3FF4" w:rsidRPr="0004249E">
              <w:rPr>
                <w:rFonts w:ascii="Arial" w:eastAsiaTheme="minorEastAsia" w:hAnsi="Arial" w:cs="Arial"/>
                <w:noProof/>
                <w:lang w:val="es-SV" w:eastAsia="es-SV"/>
              </w:rPr>
              <w:tab/>
            </w:r>
            <w:r w:rsidR="00AB3FF4" w:rsidRPr="0004249E">
              <w:rPr>
                <w:rStyle w:val="Hipervnculo"/>
                <w:rFonts w:ascii="Arial" w:hAnsi="Arial" w:cs="Arial"/>
                <w:b/>
                <w:bCs/>
                <w:noProof/>
                <w:lang w:val="es-MX"/>
              </w:rPr>
              <w:t>Conclusión.</w:t>
            </w:r>
            <w:r w:rsidR="00AB3FF4" w:rsidRPr="0004249E">
              <w:rPr>
                <w:rFonts w:ascii="Arial" w:hAnsi="Arial" w:cs="Arial"/>
                <w:noProof/>
                <w:webHidden/>
              </w:rPr>
              <w:tab/>
            </w:r>
            <w:r w:rsidR="00AB3FF4" w:rsidRPr="0004249E">
              <w:rPr>
                <w:rFonts w:ascii="Arial" w:hAnsi="Arial" w:cs="Arial"/>
                <w:noProof/>
                <w:webHidden/>
              </w:rPr>
              <w:fldChar w:fldCharType="begin"/>
            </w:r>
            <w:r w:rsidR="00AB3FF4" w:rsidRPr="0004249E">
              <w:rPr>
                <w:rFonts w:ascii="Arial" w:hAnsi="Arial" w:cs="Arial"/>
                <w:noProof/>
                <w:webHidden/>
              </w:rPr>
              <w:instrText xml:space="preserve"> PAGEREF _Toc50727010 \h </w:instrText>
            </w:r>
            <w:r w:rsidR="00AB3FF4" w:rsidRPr="0004249E">
              <w:rPr>
                <w:rFonts w:ascii="Arial" w:hAnsi="Arial" w:cs="Arial"/>
                <w:noProof/>
                <w:webHidden/>
              </w:rPr>
            </w:r>
            <w:r w:rsidR="00AB3FF4" w:rsidRPr="0004249E">
              <w:rPr>
                <w:rFonts w:ascii="Arial" w:hAnsi="Arial" w:cs="Arial"/>
                <w:noProof/>
                <w:webHidden/>
              </w:rPr>
              <w:fldChar w:fldCharType="separate"/>
            </w:r>
            <w:r>
              <w:rPr>
                <w:rFonts w:ascii="Arial" w:hAnsi="Arial" w:cs="Arial"/>
                <w:noProof/>
                <w:webHidden/>
              </w:rPr>
              <w:t>10</w:t>
            </w:r>
            <w:r w:rsidR="00AB3FF4" w:rsidRPr="0004249E">
              <w:rPr>
                <w:rFonts w:ascii="Arial" w:hAnsi="Arial" w:cs="Arial"/>
                <w:noProof/>
                <w:webHidden/>
              </w:rPr>
              <w:fldChar w:fldCharType="end"/>
            </w:r>
          </w:hyperlink>
        </w:p>
        <w:p w:rsidR="00AB3FF4" w:rsidRPr="0004249E" w:rsidRDefault="0004249E">
          <w:pPr>
            <w:pStyle w:val="TDC1"/>
            <w:tabs>
              <w:tab w:val="left" w:pos="660"/>
              <w:tab w:val="right" w:leader="dot" w:pos="8828"/>
            </w:tabs>
            <w:rPr>
              <w:rFonts w:ascii="Arial" w:eastAsiaTheme="minorEastAsia" w:hAnsi="Arial" w:cs="Arial"/>
              <w:noProof/>
              <w:lang w:val="es-SV" w:eastAsia="es-SV"/>
            </w:rPr>
          </w:pPr>
          <w:hyperlink w:anchor="_Toc50727011" w:history="1">
            <w:r w:rsidR="00AB3FF4" w:rsidRPr="0004249E">
              <w:rPr>
                <w:rStyle w:val="Hipervnculo"/>
                <w:rFonts w:ascii="Arial" w:hAnsi="Arial" w:cs="Arial"/>
                <w:b/>
                <w:bCs/>
                <w:noProof/>
                <w:lang w:val="es-MX"/>
              </w:rPr>
              <w:t>VIII.</w:t>
            </w:r>
            <w:r w:rsidR="00AB3FF4" w:rsidRPr="0004249E">
              <w:rPr>
                <w:rFonts w:ascii="Arial" w:eastAsiaTheme="minorEastAsia" w:hAnsi="Arial" w:cs="Arial"/>
                <w:noProof/>
                <w:lang w:val="es-SV" w:eastAsia="es-SV"/>
              </w:rPr>
              <w:tab/>
            </w:r>
            <w:r w:rsidR="00AB3FF4" w:rsidRPr="0004249E">
              <w:rPr>
                <w:rStyle w:val="Hipervnculo"/>
                <w:rFonts w:ascii="Arial" w:hAnsi="Arial" w:cs="Arial"/>
                <w:b/>
                <w:bCs/>
                <w:noProof/>
                <w:lang w:val="es-MX"/>
              </w:rPr>
              <w:t>Párrafo Aclaratorio</w:t>
            </w:r>
            <w:r w:rsidR="00AB3FF4" w:rsidRPr="0004249E">
              <w:rPr>
                <w:rFonts w:ascii="Arial" w:hAnsi="Arial" w:cs="Arial"/>
                <w:noProof/>
                <w:webHidden/>
              </w:rPr>
              <w:tab/>
            </w:r>
            <w:r w:rsidR="00AB3FF4" w:rsidRPr="0004249E">
              <w:rPr>
                <w:rFonts w:ascii="Arial" w:hAnsi="Arial" w:cs="Arial"/>
                <w:noProof/>
                <w:webHidden/>
              </w:rPr>
              <w:fldChar w:fldCharType="begin"/>
            </w:r>
            <w:r w:rsidR="00AB3FF4" w:rsidRPr="0004249E">
              <w:rPr>
                <w:rFonts w:ascii="Arial" w:hAnsi="Arial" w:cs="Arial"/>
                <w:noProof/>
                <w:webHidden/>
              </w:rPr>
              <w:instrText xml:space="preserve"> PAGEREF _Toc50727011 \h </w:instrText>
            </w:r>
            <w:r w:rsidR="00AB3FF4" w:rsidRPr="0004249E">
              <w:rPr>
                <w:rFonts w:ascii="Arial" w:hAnsi="Arial" w:cs="Arial"/>
                <w:noProof/>
                <w:webHidden/>
              </w:rPr>
            </w:r>
            <w:r w:rsidR="00AB3FF4" w:rsidRPr="0004249E">
              <w:rPr>
                <w:rFonts w:ascii="Arial" w:hAnsi="Arial" w:cs="Arial"/>
                <w:noProof/>
                <w:webHidden/>
              </w:rPr>
              <w:fldChar w:fldCharType="separate"/>
            </w:r>
            <w:r>
              <w:rPr>
                <w:rFonts w:ascii="Arial" w:hAnsi="Arial" w:cs="Arial"/>
                <w:noProof/>
                <w:webHidden/>
              </w:rPr>
              <w:t>10</w:t>
            </w:r>
            <w:r w:rsidR="00AB3FF4" w:rsidRPr="0004249E">
              <w:rPr>
                <w:rFonts w:ascii="Arial" w:hAnsi="Arial" w:cs="Arial"/>
                <w:noProof/>
                <w:webHidden/>
              </w:rPr>
              <w:fldChar w:fldCharType="end"/>
            </w:r>
          </w:hyperlink>
        </w:p>
        <w:p w:rsidR="00F8168C" w:rsidRPr="0004249E" w:rsidRDefault="00F8168C" w:rsidP="009B0BA5">
          <w:pPr>
            <w:spacing w:line="360" w:lineRule="auto"/>
            <w:rPr>
              <w:rFonts w:ascii="Arial" w:hAnsi="Arial" w:cs="Arial"/>
              <w:sz w:val="24"/>
              <w:szCs w:val="24"/>
            </w:rPr>
          </w:pPr>
          <w:r w:rsidRPr="0004249E">
            <w:rPr>
              <w:rFonts w:ascii="Arial" w:hAnsi="Arial" w:cs="Arial"/>
              <w:b/>
              <w:bCs/>
              <w:sz w:val="24"/>
              <w:szCs w:val="24"/>
              <w:lang w:val="es-ES"/>
            </w:rPr>
            <w:fldChar w:fldCharType="end"/>
          </w:r>
        </w:p>
      </w:sdtContent>
    </w:sdt>
    <w:p w:rsidR="00B419A7" w:rsidRPr="0004249E" w:rsidRDefault="00B419A7" w:rsidP="00823C53">
      <w:pPr>
        <w:rPr>
          <w:rFonts w:ascii="Arial" w:hAnsi="Arial" w:cs="Arial"/>
          <w:sz w:val="24"/>
          <w:szCs w:val="24"/>
          <w:lang w:val="es-SV"/>
        </w:rPr>
      </w:pPr>
    </w:p>
    <w:p w:rsidR="00B419A7" w:rsidRPr="0004249E" w:rsidRDefault="00B419A7" w:rsidP="00823C53">
      <w:pPr>
        <w:rPr>
          <w:rFonts w:ascii="Arial" w:hAnsi="Arial" w:cs="Arial"/>
          <w:sz w:val="24"/>
          <w:szCs w:val="24"/>
          <w:lang w:val="es-SV"/>
        </w:rPr>
      </w:pPr>
    </w:p>
    <w:p w:rsidR="00B419A7" w:rsidRPr="00823C53" w:rsidRDefault="00B419A7" w:rsidP="00823C53">
      <w:pPr>
        <w:rPr>
          <w:rFonts w:ascii="Ubuntu" w:hAnsi="Ubuntu"/>
          <w:sz w:val="24"/>
          <w:szCs w:val="24"/>
          <w:lang w:val="es-SV"/>
        </w:rPr>
        <w:sectPr w:rsidR="00B419A7" w:rsidRPr="00823C53">
          <w:pgSz w:w="12240" w:h="15840"/>
          <w:pgMar w:top="1417" w:right="1701" w:bottom="1417" w:left="1701" w:header="708" w:footer="708" w:gutter="0"/>
          <w:cols w:space="708"/>
          <w:docGrid w:linePitch="360"/>
        </w:sectPr>
      </w:pPr>
    </w:p>
    <w:p w:rsidR="00FE3D3B" w:rsidRPr="0004249E" w:rsidRDefault="00CC5373" w:rsidP="0004249E">
      <w:pPr>
        <w:spacing w:line="360" w:lineRule="auto"/>
        <w:jc w:val="both"/>
        <w:rPr>
          <w:rFonts w:ascii="Arial" w:hAnsi="Arial" w:cs="Arial"/>
          <w:sz w:val="24"/>
          <w:szCs w:val="24"/>
          <w:lang w:val="es-SV"/>
        </w:rPr>
      </w:pPr>
      <w:r w:rsidRPr="0004249E">
        <w:rPr>
          <w:rFonts w:ascii="Arial" w:hAnsi="Arial" w:cs="Arial"/>
          <w:sz w:val="24"/>
          <w:szCs w:val="24"/>
          <w:lang w:val="es-SV"/>
        </w:rPr>
        <w:lastRenderedPageBreak/>
        <w:t>Señor (es) Concejo Municipal</w:t>
      </w:r>
    </w:p>
    <w:p w:rsidR="00CC5373" w:rsidRPr="0004249E" w:rsidRDefault="00CC5373" w:rsidP="0004249E">
      <w:pPr>
        <w:spacing w:line="360" w:lineRule="auto"/>
        <w:jc w:val="both"/>
        <w:rPr>
          <w:rFonts w:ascii="Arial" w:hAnsi="Arial" w:cs="Arial"/>
          <w:sz w:val="24"/>
          <w:szCs w:val="24"/>
          <w:lang w:val="es-SV"/>
        </w:rPr>
      </w:pPr>
      <w:r w:rsidRPr="0004249E">
        <w:rPr>
          <w:rFonts w:ascii="Arial" w:hAnsi="Arial" w:cs="Arial"/>
          <w:sz w:val="24"/>
          <w:szCs w:val="24"/>
          <w:lang w:val="es-SV"/>
        </w:rPr>
        <w:t>Presente</w:t>
      </w:r>
    </w:p>
    <w:p w:rsidR="00CC5373" w:rsidRPr="0004249E" w:rsidRDefault="00CC5373" w:rsidP="0004249E">
      <w:pPr>
        <w:spacing w:line="360" w:lineRule="auto"/>
        <w:jc w:val="both"/>
        <w:rPr>
          <w:rFonts w:ascii="Arial" w:hAnsi="Arial" w:cs="Arial"/>
          <w:sz w:val="24"/>
          <w:szCs w:val="24"/>
          <w:lang w:val="es-SV"/>
        </w:rPr>
      </w:pPr>
      <w:r w:rsidRPr="0004249E">
        <w:rPr>
          <w:rFonts w:ascii="Arial" w:hAnsi="Arial" w:cs="Arial"/>
          <w:sz w:val="24"/>
          <w:szCs w:val="24"/>
          <w:lang w:val="es-SV"/>
        </w:rPr>
        <w:t>El presente informe contiene los resultados del Examen Especial a los Ingresos y Egresos</w:t>
      </w:r>
      <w:r w:rsidR="000C6F3B" w:rsidRPr="0004249E">
        <w:rPr>
          <w:rFonts w:ascii="Arial" w:hAnsi="Arial" w:cs="Arial"/>
          <w:sz w:val="24"/>
          <w:szCs w:val="24"/>
          <w:lang w:val="es-SV"/>
        </w:rPr>
        <w:t xml:space="preserve"> de la Alcaldía Municipal de Tepetitán</w:t>
      </w:r>
      <w:r w:rsidRPr="0004249E">
        <w:rPr>
          <w:rFonts w:ascii="Arial" w:hAnsi="Arial" w:cs="Arial"/>
          <w:sz w:val="24"/>
          <w:szCs w:val="24"/>
          <w:lang w:val="es-SV"/>
        </w:rPr>
        <w:t xml:space="preserve">, por el periodo del 01 al </w:t>
      </w:r>
      <w:r w:rsidR="0017073B" w:rsidRPr="0004249E">
        <w:rPr>
          <w:rFonts w:ascii="Arial" w:hAnsi="Arial" w:cs="Arial"/>
          <w:sz w:val="24"/>
          <w:szCs w:val="24"/>
          <w:lang w:val="es-SV"/>
        </w:rPr>
        <w:t>30</w:t>
      </w:r>
      <w:r w:rsidRPr="0004249E">
        <w:rPr>
          <w:rFonts w:ascii="Arial" w:hAnsi="Arial" w:cs="Arial"/>
          <w:sz w:val="24"/>
          <w:szCs w:val="24"/>
          <w:lang w:val="es-SV"/>
        </w:rPr>
        <w:t xml:space="preserve"> de </w:t>
      </w:r>
      <w:r w:rsidR="0017073B" w:rsidRPr="0004249E">
        <w:rPr>
          <w:rFonts w:ascii="Arial" w:hAnsi="Arial" w:cs="Arial"/>
          <w:sz w:val="24"/>
          <w:szCs w:val="24"/>
          <w:lang w:val="es-SV"/>
        </w:rPr>
        <w:t>abril</w:t>
      </w:r>
      <w:r w:rsidRPr="0004249E">
        <w:rPr>
          <w:rFonts w:ascii="Arial" w:hAnsi="Arial" w:cs="Arial"/>
          <w:sz w:val="24"/>
          <w:szCs w:val="24"/>
          <w:lang w:val="es-SV"/>
        </w:rPr>
        <w:t xml:space="preserve"> de 2020. La </w:t>
      </w:r>
      <w:r w:rsidR="009E3CC5" w:rsidRPr="0004249E">
        <w:rPr>
          <w:rFonts w:ascii="Arial" w:hAnsi="Arial" w:cs="Arial"/>
          <w:sz w:val="24"/>
          <w:szCs w:val="24"/>
          <w:lang w:val="es-SV"/>
        </w:rPr>
        <w:t>auditoría</w:t>
      </w:r>
      <w:r w:rsidRPr="0004249E">
        <w:rPr>
          <w:rFonts w:ascii="Arial" w:hAnsi="Arial" w:cs="Arial"/>
          <w:sz w:val="24"/>
          <w:szCs w:val="24"/>
          <w:lang w:val="es-SV"/>
        </w:rPr>
        <w:t xml:space="preserve"> fue realizada en cumplimiento a los art. 30 y 31 de la Ley de la Corte de Cuentas de la República, a las Normas de Auditoría Interna del Sector Gubernamental, emitidas por la Corte de Cuentas de la República.</w:t>
      </w:r>
    </w:p>
    <w:p w:rsidR="00CC5373" w:rsidRPr="0004249E" w:rsidRDefault="00CC5373" w:rsidP="0004249E">
      <w:pPr>
        <w:pStyle w:val="Prrafodelista"/>
        <w:numPr>
          <w:ilvl w:val="0"/>
          <w:numId w:val="1"/>
        </w:numPr>
        <w:spacing w:line="360" w:lineRule="auto"/>
        <w:jc w:val="both"/>
        <w:rPr>
          <w:rFonts w:ascii="Arial" w:hAnsi="Arial" w:cs="Arial"/>
          <w:b/>
          <w:bCs/>
          <w:sz w:val="24"/>
          <w:szCs w:val="24"/>
          <w:lang w:val="es-SV"/>
        </w:rPr>
      </w:pPr>
      <w:bookmarkStart w:id="0" w:name="_Toc50727004"/>
      <w:r w:rsidRPr="0004249E">
        <w:rPr>
          <w:rStyle w:val="Ttulo1Car"/>
          <w:rFonts w:ascii="Arial" w:hAnsi="Arial" w:cs="Arial"/>
          <w:b/>
          <w:bCs/>
          <w:color w:val="auto"/>
          <w:sz w:val="24"/>
          <w:szCs w:val="24"/>
          <w:lang w:val="es-SV"/>
        </w:rPr>
        <w:t>Objetivos de la Auditoría</w:t>
      </w:r>
      <w:bookmarkEnd w:id="0"/>
      <w:r w:rsidRPr="0004249E">
        <w:rPr>
          <w:rFonts w:ascii="Arial" w:hAnsi="Arial" w:cs="Arial"/>
          <w:b/>
          <w:bCs/>
          <w:sz w:val="24"/>
          <w:szCs w:val="24"/>
          <w:lang w:val="es-SV"/>
        </w:rPr>
        <w:t>.</w:t>
      </w:r>
    </w:p>
    <w:p w:rsidR="000C6F3B" w:rsidRPr="0004249E" w:rsidRDefault="000C6F3B" w:rsidP="0004249E">
      <w:pPr>
        <w:pStyle w:val="Prrafodelista"/>
        <w:spacing w:line="360" w:lineRule="auto"/>
        <w:ind w:left="1080"/>
        <w:jc w:val="both"/>
        <w:rPr>
          <w:rFonts w:ascii="Arial" w:hAnsi="Arial" w:cs="Arial"/>
          <w:sz w:val="24"/>
          <w:szCs w:val="24"/>
          <w:lang w:val="es-SV"/>
        </w:rPr>
      </w:pPr>
      <w:r w:rsidRPr="0004249E">
        <w:rPr>
          <w:rFonts w:ascii="Arial" w:hAnsi="Arial" w:cs="Arial"/>
          <w:sz w:val="24"/>
          <w:szCs w:val="24"/>
          <w:lang w:val="es-SV"/>
        </w:rPr>
        <w:t>Objetivo General:</w:t>
      </w:r>
    </w:p>
    <w:p w:rsidR="00CC5373" w:rsidRPr="0004249E" w:rsidRDefault="000C6F3B" w:rsidP="0004249E">
      <w:pPr>
        <w:pStyle w:val="Prrafodelista"/>
        <w:spacing w:line="360" w:lineRule="auto"/>
        <w:ind w:left="1080"/>
        <w:jc w:val="both"/>
        <w:rPr>
          <w:rFonts w:ascii="Arial" w:hAnsi="Arial" w:cs="Arial"/>
          <w:sz w:val="24"/>
          <w:szCs w:val="24"/>
        </w:rPr>
      </w:pPr>
      <w:r w:rsidRPr="0004249E">
        <w:rPr>
          <w:rFonts w:ascii="Arial" w:hAnsi="Arial" w:cs="Arial"/>
          <w:sz w:val="24"/>
          <w:szCs w:val="24"/>
          <w:lang w:val="es-SV"/>
        </w:rPr>
        <w:t xml:space="preserve">Realizar el </w:t>
      </w:r>
      <w:r w:rsidR="00366772" w:rsidRPr="0004249E">
        <w:rPr>
          <w:rFonts w:ascii="Arial" w:hAnsi="Arial" w:cs="Arial"/>
          <w:sz w:val="24"/>
          <w:szCs w:val="24"/>
          <w:lang w:val="es-SV"/>
        </w:rPr>
        <w:t xml:space="preserve">Examen Especial </w:t>
      </w:r>
      <w:r w:rsidRPr="0004249E">
        <w:rPr>
          <w:rFonts w:ascii="Arial" w:hAnsi="Arial" w:cs="Arial"/>
          <w:sz w:val="24"/>
          <w:szCs w:val="24"/>
          <w:lang w:val="es-SV"/>
        </w:rPr>
        <w:t xml:space="preserve">a los Ingresos y Egresos de la Alcaldía Municipal de Tepetitán, Departamento de San Vicente, durante el Período del 01 al </w:t>
      </w:r>
      <w:r w:rsidR="0017073B" w:rsidRPr="0004249E">
        <w:rPr>
          <w:rFonts w:ascii="Arial" w:hAnsi="Arial" w:cs="Arial"/>
          <w:sz w:val="24"/>
          <w:szCs w:val="24"/>
          <w:lang w:val="es-SV"/>
        </w:rPr>
        <w:t>30</w:t>
      </w:r>
      <w:r w:rsidRPr="0004249E">
        <w:rPr>
          <w:rFonts w:ascii="Arial" w:hAnsi="Arial" w:cs="Arial"/>
          <w:sz w:val="24"/>
          <w:szCs w:val="24"/>
          <w:lang w:val="es-SV"/>
        </w:rPr>
        <w:t xml:space="preserve"> de </w:t>
      </w:r>
      <w:r w:rsidR="0017073B" w:rsidRPr="0004249E">
        <w:rPr>
          <w:rFonts w:ascii="Arial" w:hAnsi="Arial" w:cs="Arial"/>
          <w:sz w:val="24"/>
          <w:szCs w:val="24"/>
          <w:lang w:val="es-SV"/>
        </w:rPr>
        <w:t>abril</w:t>
      </w:r>
      <w:r w:rsidRPr="0004249E">
        <w:rPr>
          <w:rFonts w:ascii="Arial" w:hAnsi="Arial" w:cs="Arial"/>
          <w:sz w:val="24"/>
          <w:szCs w:val="24"/>
          <w:lang w:val="es-SV"/>
        </w:rPr>
        <w:t xml:space="preserve"> de 2020.</w:t>
      </w:r>
    </w:p>
    <w:p w:rsidR="000C6F3B" w:rsidRPr="0004249E" w:rsidRDefault="000C6F3B" w:rsidP="0004249E">
      <w:pPr>
        <w:pStyle w:val="Prrafodelista"/>
        <w:spacing w:line="360" w:lineRule="auto"/>
        <w:ind w:left="1080"/>
        <w:jc w:val="both"/>
        <w:rPr>
          <w:rFonts w:ascii="Arial" w:hAnsi="Arial" w:cs="Arial"/>
          <w:sz w:val="24"/>
          <w:szCs w:val="24"/>
          <w:lang w:val="es-SV"/>
        </w:rPr>
      </w:pPr>
    </w:p>
    <w:p w:rsidR="00CC5373" w:rsidRPr="0004249E" w:rsidRDefault="00CC5373" w:rsidP="0004249E">
      <w:pPr>
        <w:pStyle w:val="Prrafodelista"/>
        <w:spacing w:line="360" w:lineRule="auto"/>
        <w:ind w:left="1080"/>
        <w:jc w:val="both"/>
        <w:rPr>
          <w:rFonts w:ascii="Arial" w:hAnsi="Arial" w:cs="Arial"/>
          <w:sz w:val="24"/>
          <w:szCs w:val="24"/>
          <w:lang w:val="es-SV"/>
        </w:rPr>
      </w:pPr>
      <w:r w:rsidRPr="0004249E">
        <w:rPr>
          <w:rFonts w:ascii="Arial" w:hAnsi="Arial" w:cs="Arial"/>
          <w:sz w:val="24"/>
          <w:szCs w:val="24"/>
          <w:lang w:val="es-SV"/>
        </w:rPr>
        <w:t>Objetivos Específicos</w:t>
      </w:r>
      <w:r w:rsidR="0080219D" w:rsidRPr="0004249E">
        <w:rPr>
          <w:rFonts w:ascii="Arial" w:hAnsi="Arial" w:cs="Arial"/>
          <w:sz w:val="24"/>
          <w:szCs w:val="24"/>
          <w:lang w:val="es-SV"/>
        </w:rPr>
        <w:t>:</w:t>
      </w:r>
    </w:p>
    <w:p w:rsidR="0080219D" w:rsidRPr="0004249E" w:rsidRDefault="0080219D" w:rsidP="0004249E">
      <w:pPr>
        <w:pStyle w:val="Prrafodelista"/>
        <w:spacing w:line="360" w:lineRule="auto"/>
        <w:ind w:left="1080"/>
        <w:jc w:val="both"/>
        <w:rPr>
          <w:rFonts w:ascii="Arial" w:hAnsi="Arial" w:cs="Arial"/>
          <w:sz w:val="24"/>
          <w:szCs w:val="24"/>
        </w:rPr>
      </w:pPr>
      <w:r w:rsidRPr="0004249E">
        <w:rPr>
          <w:rFonts w:ascii="Arial" w:hAnsi="Arial" w:cs="Arial"/>
          <w:sz w:val="24"/>
          <w:szCs w:val="24"/>
          <w:lang w:val="es-SV"/>
        </w:rPr>
        <w:t>Verificar el establecimiento y adecuado funcionamiento del Sistema de Control Interno de la Unidad de Tesorería de la Alcaldía Municipal de Tepetitán.</w:t>
      </w:r>
    </w:p>
    <w:p w:rsidR="0080219D" w:rsidRPr="0004249E" w:rsidRDefault="0080219D" w:rsidP="0004249E">
      <w:pPr>
        <w:pStyle w:val="Prrafodelista"/>
        <w:spacing w:line="360" w:lineRule="auto"/>
        <w:ind w:left="1080"/>
        <w:jc w:val="both"/>
        <w:rPr>
          <w:rFonts w:ascii="Arial" w:hAnsi="Arial" w:cs="Arial"/>
          <w:sz w:val="24"/>
          <w:szCs w:val="24"/>
          <w:lang w:val="es-SV"/>
        </w:rPr>
      </w:pPr>
    </w:p>
    <w:p w:rsidR="0080219D" w:rsidRPr="0004249E" w:rsidRDefault="0080219D" w:rsidP="0004249E">
      <w:pPr>
        <w:pStyle w:val="Prrafodelista"/>
        <w:spacing w:line="360" w:lineRule="auto"/>
        <w:ind w:left="1080"/>
        <w:jc w:val="both"/>
        <w:rPr>
          <w:rFonts w:ascii="Arial" w:hAnsi="Arial" w:cs="Arial"/>
          <w:sz w:val="24"/>
          <w:szCs w:val="24"/>
        </w:rPr>
      </w:pPr>
      <w:r w:rsidRPr="0004249E">
        <w:rPr>
          <w:rFonts w:ascii="Arial" w:hAnsi="Arial" w:cs="Arial"/>
          <w:sz w:val="24"/>
          <w:szCs w:val="24"/>
          <w:lang w:val="es-SV"/>
        </w:rPr>
        <w:t>Constatar la existencia de la documentación que respalda los ingresos y egresos de la municipalidad en el período objeto de examen.</w:t>
      </w:r>
    </w:p>
    <w:p w:rsidR="0080219D" w:rsidRPr="0004249E" w:rsidRDefault="0080219D" w:rsidP="0004249E">
      <w:pPr>
        <w:pStyle w:val="Prrafodelista"/>
        <w:spacing w:line="360" w:lineRule="auto"/>
        <w:ind w:left="1080"/>
        <w:jc w:val="both"/>
        <w:rPr>
          <w:rFonts w:ascii="Arial" w:hAnsi="Arial" w:cs="Arial"/>
          <w:sz w:val="24"/>
          <w:szCs w:val="24"/>
          <w:lang w:val="es-SV"/>
        </w:rPr>
      </w:pPr>
    </w:p>
    <w:p w:rsidR="0080219D" w:rsidRPr="0004249E" w:rsidRDefault="0080219D" w:rsidP="0004249E">
      <w:pPr>
        <w:pStyle w:val="Prrafodelista"/>
        <w:spacing w:line="360" w:lineRule="auto"/>
        <w:ind w:left="1080"/>
        <w:jc w:val="both"/>
        <w:rPr>
          <w:rFonts w:ascii="Arial" w:hAnsi="Arial" w:cs="Arial"/>
          <w:sz w:val="24"/>
          <w:szCs w:val="24"/>
        </w:rPr>
      </w:pPr>
      <w:r w:rsidRPr="0004249E">
        <w:rPr>
          <w:rFonts w:ascii="Arial" w:hAnsi="Arial" w:cs="Arial"/>
          <w:sz w:val="24"/>
          <w:szCs w:val="24"/>
          <w:lang w:val="es-SV"/>
        </w:rPr>
        <w:t>Emitir un Informe que contenga el cumplimiento de las leyes y normativas aplicable a la municipalidad en la captación de los ingresos y erogación de fondos</w:t>
      </w:r>
      <w:r w:rsidR="002943B4" w:rsidRPr="0004249E">
        <w:rPr>
          <w:rFonts w:ascii="Arial" w:hAnsi="Arial" w:cs="Arial"/>
          <w:sz w:val="24"/>
          <w:szCs w:val="24"/>
          <w:lang w:val="es-SV"/>
        </w:rPr>
        <w:t>.</w:t>
      </w:r>
    </w:p>
    <w:p w:rsidR="00CC5373" w:rsidRPr="0004249E" w:rsidRDefault="00CC5373" w:rsidP="0004249E">
      <w:pPr>
        <w:pStyle w:val="Ttulo1"/>
        <w:numPr>
          <w:ilvl w:val="0"/>
          <w:numId w:val="1"/>
        </w:numPr>
        <w:spacing w:line="360" w:lineRule="auto"/>
        <w:rPr>
          <w:rFonts w:ascii="Arial" w:hAnsi="Arial" w:cs="Arial"/>
          <w:b/>
          <w:bCs/>
          <w:color w:val="auto"/>
          <w:sz w:val="24"/>
          <w:szCs w:val="24"/>
          <w:lang w:val="es-SV"/>
        </w:rPr>
      </w:pPr>
      <w:bookmarkStart w:id="1" w:name="_Toc50727005"/>
      <w:r w:rsidRPr="0004249E">
        <w:rPr>
          <w:rFonts w:ascii="Arial" w:hAnsi="Arial" w:cs="Arial"/>
          <w:b/>
          <w:bCs/>
          <w:color w:val="auto"/>
          <w:sz w:val="24"/>
          <w:szCs w:val="24"/>
          <w:lang w:val="es-SV"/>
        </w:rPr>
        <w:t>Alcance de la Auditoría.</w:t>
      </w:r>
      <w:bookmarkEnd w:id="1"/>
    </w:p>
    <w:p w:rsidR="00CA0D51" w:rsidRPr="0004249E" w:rsidRDefault="00013C38" w:rsidP="0004249E">
      <w:pPr>
        <w:pStyle w:val="Prrafodelista"/>
        <w:spacing w:line="360" w:lineRule="auto"/>
        <w:ind w:left="1080"/>
        <w:jc w:val="both"/>
        <w:rPr>
          <w:rFonts w:ascii="Arial" w:hAnsi="Arial" w:cs="Arial"/>
          <w:sz w:val="24"/>
          <w:szCs w:val="24"/>
          <w:lang w:val="es-SV"/>
        </w:rPr>
      </w:pPr>
      <w:r w:rsidRPr="0004249E">
        <w:rPr>
          <w:rFonts w:ascii="Arial" w:hAnsi="Arial" w:cs="Arial"/>
          <w:sz w:val="24"/>
          <w:szCs w:val="24"/>
          <w:lang w:val="es-SV"/>
        </w:rPr>
        <w:t xml:space="preserve">Realizamos </w:t>
      </w:r>
      <w:r w:rsidR="00366772" w:rsidRPr="0004249E">
        <w:rPr>
          <w:rFonts w:ascii="Arial" w:hAnsi="Arial" w:cs="Arial"/>
          <w:sz w:val="24"/>
          <w:szCs w:val="24"/>
          <w:lang w:val="es-SV"/>
        </w:rPr>
        <w:t>el Examen Especial a los Ingresos y Egresos de la Alcaldía Municipal de Tepetitán, Departamento de San Vicente, por el período del 01</w:t>
      </w:r>
      <w:r w:rsidRPr="0004249E">
        <w:rPr>
          <w:rFonts w:ascii="Arial" w:hAnsi="Arial" w:cs="Arial"/>
          <w:sz w:val="24"/>
          <w:szCs w:val="24"/>
          <w:lang w:val="es-SV"/>
        </w:rPr>
        <w:t xml:space="preserve"> </w:t>
      </w:r>
      <w:r w:rsidR="00BB7DFA" w:rsidRPr="0004249E">
        <w:rPr>
          <w:rFonts w:ascii="Arial" w:hAnsi="Arial" w:cs="Arial"/>
          <w:sz w:val="24"/>
          <w:szCs w:val="24"/>
          <w:lang w:val="es-SV"/>
        </w:rPr>
        <w:t>al</w:t>
      </w:r>
      <w:r w:rsidRPr="0004249E">
        <w:rPr>
          <w:rFonts w:ascii="Arial" w:hAnsi="Arial" w:cs="Arial"/>
          <w:sz w:val="24"/>
          <w:szCs w:val="24"/>
          <w:lang w:val="es-SV"/>
        </w:rPr>
        <w:t xml:space="preserve"> </w:t>
      </w:r>
      <w:r w:rsidR="0017073B" w:rsidRPr="0004249E">
        <w:rPr>
          <w:rFonts w:ascii="Arial" w:hAnsi="Arial" w:cs="Arial"/>
          <w:sz w:val="24"/>
          <w:szCs w:val="24"/>
          <w:lang w:val="es-SV"/>
        </w:rPr>
        <w:t>30</w:t>
      </w:r>
      <w:r w:rsidRPr="0004249E">
        <w:rPr>
          <w:rFonts w:ascii="Arial" w:hAnsi="Arial" w:cs="Arial"/>
          <w:sz w:val="24"/>
          <w:szCs w:val="24"/>
          <w:lang w:val="es-SV"/>
        </w:rPr>
        <w:t xml:space="preserve"> </w:t>
      </w:r>
      <w:r w:rsidR="00BB7DFA" w:rsidRPr="0004249E">
        <w:rPr>
          <w:rFonts w:ascii="Arial" w:hAnsi="Arial" w:cs="Arial"/>
          <w:sz w:val="24"/>
          <w:szCs w:val="24"/>
          <w:lang w:val="es-SV"/>
        </w:rPr>
        <w:t>de</w:t>
      </w:r>
      <w:r w:rsidRPr="0004249E">
        <w:rPr>
          <w:rFonts w:ascii="Arial" w:hAnsi="Arial" w:cs="Arial"/>
          <w:sz w:val="24"/>
          <w:szCs w:val="24"/>
          <w:lang w:val="es-SV"/>
        </w:rPr>
        <w:t xml:space="preserve"> </w:t>
      </w:r>
      <w:r w:rsidR="0017073B" w:rsidRPr="0004249E">
        <w:rPr>
          <w:rFonts w:ascii="Arial" w:hAnsi="Arial" w:cs="Arial"/>
          <w:sz w:val="24"/>
          <w:szCs w:val="24"/>
          <w:lang w:val="es-SV"/>
        </w:rPr>
        <w:t xml:space="preserve">abril </w:t>
      </w:r>
      <w:r w:rsidRPr="0004249E">
        <w:rPr>
          <w:rFonts w:ascii="Arial" w:hAnsi="Arial" w:cs="Arial"/>
          <w:sz w:val="24"/>
          <w:szCs w:val="24"/>
          <w:lang w:val="es-SV"/>
        </w:rPr>
        <w:t xml:space="preserve">de 2020, de conformidad con las Normas de Auditoría Interna del Sector Gubernamental emitidas por la Corte de Cuentas de la República. Para tal efecto se aplicaron pruebas en las áreas identificadas como críticas, </w:t>
      </w:r>
      <w:r w:rsidRPr="0004249E">
        <w:rPr>
          <w:rFonts w:ascii="Arial" w:hAnsi="Arial" w:cs="Arial"/>
          <w:sz w:val="24"/>
          <w:szCs w:val="24"/>
          <w:lang w:val="es-SV"/>
        </w:rPr>
        <w:lastRenderedPageBreak/>
        <w:t>con base a procedimientos contenidos en el programa de auditoría y que responden a nuestros objetivos.</w:t>
      </w:r>
    </w:p>
    <w:p w:rsidR="00CC5373" w:rsidRPr="0004249E" w:rsidRDefault="00E712AC" w:rsidP="0004249E">
      <w:pPr>
        <w:pStyle w:val="Ttulo1"/>
        <w:numPr>
          <w:ilvl w:val="0"/>
          <w:numId w:val="1"/>
        </w:numPr>
        <w:spacing w:line="360" w:lineRule="auto"/>
        <w:rPr>
          <w:rFonts w:ascii="Arial" w:hAnsi="Arial" w:cs="Arial"/>
          <w:b/>
          <w:bCs/>
          <w:color w:val="auto"/>
          <w:sz w:val="24"/>
          <w:szCs w:val="24"/>
          <w:lang w:val="es-MX"/>
        </w:rPr>
      </w:pPr>
      <w:bookmarkStart w:id="2" w:name="_Toc50727006"/>
      <w:r w:rsidRPr="0004249E">
        <w:rPr>
          <w:rFonts w:ascii="Arial" w:hAnsi="Arial" w:cs="Arial"/>
          <w:b/>
          <w:bCs/>
          <w:color w:val="auto"/>
          <w:sz w:val="24"/>
          <w:szCs w:val="24"/>
          <w:lang w:val="es-MX"/>
        </w:rPr>
        <w:t>Procedimiento de Auditoría Aplicados.</w:t>
      </w:r>
      <w:bookmarkEnd w:id="2"/>
    </w:p>
    <w:p w:rsidR="00E712AC" w:rsidRPr="0004249E" w:rsidRDefault="00E712AC" w:rsidP="0004249E">
      <w:pPr>
        <w:pStyle w:val="Prrafodelista"/>
        <w:spacing w:line="360" w:lineRule="auto"/>
        <w:ind w:left="1080"/>
        <w:jc w:val="both"/>
        <w:rPr>
          <w:rFonts w:ascii="Arial" w:hAnsi="Arial" w:cs="Arial"/>
          <w:sz w:val="24"/>
          <w:szCs w:val="24"/>
          <w:lang w:val="es-MX"/>
        </w:rPr>
      </w:pPr>
      <w:r w:rsidRPr="0004249E">
        <w:rPr>
          <w:rFonts w:ascii="Arial" w:hAnsi="Arial" w:cs="Arial"/>
          <w:sz w:val="24"/>
          <w:szCs w:val="24"/>
          <w:lang w:val="es-MX"/>
        </w:rPr>
        <w:t>Los principales procedimientos de auditoria realizados para el cumplimiento de los objetivos de la auditoría fueron los siguientes:</w:t>
      </w:r>
    </w:p>
    <w:p w:rsidR="007B1AA6" w:rsidRPr="0004249E" w:rsidRDefault="007B1AA6" w:rsidP="0004249E">
      <w:pPr>
        <w:pStyle w:val="Prrafodelista"/>
        <w:spacing w:line="360" w:lineRule="auto"/>
        <w:ind w:left="1080"/>
        <w:jc w:val="both"/>
        <w:rPr>
          <w:rFonts w:ascii="Arial" w:hAnsi="Arial" w:cs="Arial"/>
          <w:sz w:val="24"/>
          <w:szCs w:val="24"/>
          <w:lang w:val="es-MX"/>
        </w:rPr>
      </w:pPr>
    </w:p>
    <w:p w:rsidR="007B1AA6" w:rsidRPr="0004249E" w:rsidRDefault="007C5DF2" w:rsidP="0004249E">
      <w:pPr>
        <w:pStyle w:val="Prrafodelista"/>
        <w:spacing w:line="360" w:lineRule="auto"/>
        <w:ind w:left="1080"/>
        <w:jc w:val="both"/>
        <w:rPr>
          <w:rFonts w:ascii="Arial" w:hAnsi="Arial" w:cs="Arial"/>
          <w:sz w:val="24"/>
          <w:szCs w:val="24"/>
          <w:lang w:val="es-MX"/>
        </w:rPr>
      </w:pPr>
      <w:r w:rsidRPr="0004249E">
        <w:rPr>
          <w:rFonts w:ascii="Arial" w:hAnsi="Arial" w:cs="Arial"/>
          <w:sz w:val="24"/>
          <w:szCs w:val="24"/>
          <w:lang w:val="es-MX"/>
        </w:rPr>
        <w:t>Se comprobó que el monto de los ingresos diarios, fuera registrado por tesorería y remesados al banco</w:t>
      </w:r>
      <w:r w:rsidR="007B1AA6" w:rsidRPr="0004249E">
        <w:rPr>
          <w:rFonts w:ascii="Arial" w:hAnsi="Arial" w:cs="Arial"/>
          <w:sz w:val="24"/>
          <w:szCs w:val="24"/>
          <w:lang w:val="es-MX"/>
        </w:rPr>
        <w:t>:</w:t>
      </w:r>
    </w:p>
    <w:p w:rsidR="007B1AA6" w:rsidRPr="0004249E" w:rsidRDefault="007B1AA6" w:rsidP="0004249E">
      <w:pPr>
        <w:pStyle w:val="Prrafodelista"/>
        <w:spacing w:line="360" w:lineRule="auto"/>
        <w:ind w:left="1080"/>
        <w:jc w:val="both"/>
        <w:rPr>
          <w:rFonts w:ascii="Arial" w:hAnsi="Arial" w:cs="Arial"/>
          <w:sz w:val="24"/>
          <w:szCs w:val="24"/>
          <w:lang w:val="es-MX"/>
        </w:rPr>
      </w:pPr>
    </w:p>
    <w:p w:rsidR="007B1AA6" w:rsidRPr="0004249E" w:rsidRDefault="007C5DF2" w:rsidP="0004249E">
      <w:pPr>
        <w:pStyle w:val="Prrafodelista"/>
        <w:spacing w:line="360" w:lineRule="auto"/>
        <w:ind w:left="1080"/>
        <w:jc w:val="both"/>
        <w:rPr>
          <w:rFonts w:ascii="Arial" w:hAnsi="Arial" w:cs="Arial"/>
          <w:sz w:val="24"/>
          <w:szCs w:val="24"/>
          <w:lang w:val="es-MX"/>
        </w:rPr>
      </w:pPr>
      <w:r w:rsidRPr="0004249E">
        <w:rPr>
          <w:rFonts w:ascii="Arial" w:hAnsi="Arial" w:cs="Arial"/>
          <w:sz w:val="24"/>
          <w:szCs w:val="24"/>
          <w:lang w:val="es-MX"/>
        </w:rPr>
        <w:t>Se analizó la correcta aplicación de la normativa legal y técnica aplicable a la municipalidad en la captación de ingresos y en la erogación de fondos.</w:t>
      </w:r>
    </w:p>
    <w:p w:rsidR="007B1AA6" w:rsidRPr="0004249E" w:rsidRDefault="007B1AA6" w:rsidP="0004249E">
      <w:pPr>
        <w:pStyle w:val="Prrafodelista"/>
        <w:spacing w:line="360" w:lineRule="auto"/>
        <w:ind w:left="1080"/>
        <w:jc w:val="both"/>
        <w:rPr>
          <w:rFonts w:ascii="Arial" w:hAnsi="Arial" w:cs="Arial"/>
          <w:sz w:val="24"/>
          <w:szCs w:val="24"/>
          <w:lang w:val="es-MX"/>
        </w:rPr>
      </w:pPr>
    </w:p>
    <w:p w:rsidR="007B1AA6" w:rsidRPr="0004249E" w:rsidRDefault="007C5DF2" w:rsidP="0004249E">
      <w:pPr>
        <w:pStyle w:val="Prrafodelista"/>
        <w:spacing w:line="360" w:lineRule="auto"/>
        <w:ind w:left="1080"/>
        <w:jc w:val="both"/>
        <w:rPr>
          <w:rFonts w:ascii="Arial" w:hAnsi="Arial" w:cs="Arial"/>
          <w:sz w:val="24"/>
          <w:szCs w:val="24"/>
          <w:lang w:val="es-MX"/>
        </w:rPr>
      </w:pPr>
      <w:r w:rsidRPr="0004249E">
        <w:rPr>
          <w:rFonts w:ascii="Arial" w:hAnsi="Arial" w:cs="Arial"/>
          <w:sz w:val="24"/>
          <w:szCs w:val="24"/>
          <w:lang w:val="es-MX"/>
        </w:rPr>
        <w:t>Se comparó el monto de los</w:t>
      </w:r>
      <w:r w:rsidR="00AE7401" w:rsidRPr="0004249E">
        <w:rPr>
          <w:rFonts w:ascii="Arial" w:hAnsi="Arial" w:cs="Arial"/>
          <w:sz w:val="24"/>
          <w:szCs w:val="24"/>
          <w:lang w:val="es-MX"/>
        </w:rPr>
        <w:t xml:space="preserve"> cheques emitidos con el monto de los documentos de respaldo de los gastos del mes de </w:t>
      </w:r>
      <w:r w:rsidR="0099470D" w:rsidRPr="0004249E">
        <w:rPr>
          <w:rFonts w:ascii="Arial" w:hAnsi="Arial" w:cs="Arial"/>
          <w:sz w:val="24"/>
          <w:szCs w:val="24"/>
          <w:lang w:val="es-MX"/>
        </w:rPr>
        <w:t>abril</w:t>
      </w:r>
      <w:r w:rsidR="00AE7401" w:rsidRPr="0004249E">
        <w:rPr>
          <w:rFonts w:ascii="Arial" w:hAnsi="Arial" w:cs="Arial"/>
          <w:sz w:val="24"/>
          <w:szCs w:val="24"/>
          <w:lang w:val="es-MX"/>
        </w:rPr>
        <w:t>.</w:t>
      </w:r>
    </w:p>
    <w:p w:rsidR="00E712AC" w:rsidRPr="0004249E" w:rsidRDefault="00E712AC" w:rsidP="0004249E">
      <w:pPr>
        <w:pStyle w:val="Ttulo1"/>
        <w:numPr>
          <w:ilvl w:val="0"/>
          <w:numId w:val="1"/>
        </w:numPr>
        <w:spacing w:line="360" w:lineRule="auto"/>
        <w:rPr>
          <w:rFonts w:ascii="Arial" w:hAnsi="Arial" w:cs="Arial"/>
          <w:b/>
          <w:bCs/>
          <w:color w:val="auto"/>
          <w:sz w:val="24"/>
          <w:szCs w:val="24"/>
          <w:lang w:val="es-MX"/>
        </w:rPr>
      </w:pPr>
      <w:bookmarkStart w:id="3" w:name="_Toc50727007"/>
      <w:r w:rsidRPr="0004249E">
        <w:rPr>
          <w:rFonts w:ascii="Arial" w:hAnsi="Arial" w:cs="Arial"/>
          <w:b/>
          <w:bCs/>
          <w:color w:val="auto"/>
          <w:sz w:val="24"/>
          <w:szCs w:val="24"/>
          <w:lang w:val="es-MX"/>
        </w:rPr>
        <w:t>Resultados de la Auditoría.</w:t>
      </w:r>
      <w:bookmarkEnd w:id="3"/>
    </w:p>
    <w:p w:rsidR="004153EB" w:rsidRPr="0004249E" w:rsidRDefault="004153EB" w:rsidP="0004249E">
      <w:pPr>
        <w:pStyle w:val="Prrafodelista"/>
        <w:spacing w:line="360" w:lineRule="auto"/>
        <w:ind w:left="1080"/>
        <w:jc w:val="both"/>
        <w:rPr>
          <w:rFonts w:ascii="Arial" w:hAnsi="Arial" w:cs="Arial"/>
          <w:sz w:val="24"/>
          <w:szCs w:val="24"/>
          <w:lang w:val="es-MX"/>
        </w:rPr>
      </w:pPr>
      <w:r w:rsidRPr="0004249E">
        <w:rPr>
          <w:rFonts w:ascii="Arial" w:hAnsi="Arial" w:cs="Arial"/>
          <w:sz w:val="24"/>
          <w:szCs w:val="24"/>
          <w:lang w:val="es-MX"/>
        </w:rPr>
        <w:t>Como resultado de los procedimientos aplicados, se determinó las siguientes condiciones:</w:t>
      </w:r>
    </w:p>
    <w:p w:rsidR="00AB3FF4" w:rsidRPr="0004249E" w:rsidRDefault="00AB3FF4" w:rsidP="0004249E">
      <w:pPr>
        <w:pStyle w:val="Prrafodelista"/>
        <w:spacing w:line="360" w:lineRule="auto"/>
        <w:ind w:left="1080"/>
        <w:jc w:val="both"/>
        <w:rPr>
          <w:rFonts w:ascii="Arial" w:hAnsi="Arial" w:cs="Arial"/>
          <w:b/>
          <w:bCs/>
          <w:sz w:val="24"/>
          <w:szCs w:val="24"/>
          <w:lang w:val="es-MX"/>
        </w:rPr>
      </w:pPr>
    </w:p>
    <w:p w:rsidR="00D14618" w:rsidRPr="0004249E" w:rsidRDefault="004153EB" w:rsidP="0004249E">
      <w:pPr>
        <w:pStyle w:val="Prrafodelista"/>
        <w:spacing w:line="360" w:lineRule="auto"/>
        <w:ind w:left="1080"/>
        <w:jc w:val="both"/>
        <w:rPr>
          <w:rFonts w:ascii="Arial" w:hAnsi="Arial" w:cs="Arial"/>
          <w:sz w:val="24"/>
          <w:szCs w:val="24"/>
          <w:lang w:val="es-MX"/>
        </w:rPr>
      </w:pPr>
      <w:r w:rsidRPr="0004249E">
        <w:rPr>
          <w:rFonts w:ascii="Arial" w:hAnsi="Arial" w:cs="Arial"/>
          <w:b/>
          <w:bCs/>
          <w:sz w:val="24"/>
          <w:szCs w:val="24"/>
          <w:lang w:val="es-MX"/>
        </w:rPr>
        <w:t xml:space="preserve">HALLAZGO 1: </w:t>
      </w:r>
      <w:r w:rsidRPr="0004249E">
        <w:rPr>
          <w:rFonts w:ascii="Arial" w:hAnsi="Arial" w:cs="Arial"/>
          <w:sz w:val="24"/>
          <w:szCs w:val="24"/>
          <w:lang w:val="es-MX"/>
        </w:rPr>
        <w:t>EROGACIÓN DE FONDOS DEL FODES 25% PARA PAGO DE COMBUSTIBLE DE VEHÍCULOS ASIGNADOS A PROYECTOS</w:t>
      </w:r>
      <w:bookmarkStart w:id="4" w:name="_Hlk49174155"/>
    </w:p>
    <w:p w:rsidR="00D14618" w:rsidRPr="0004249E" w:rsidRDefault="00D14618" w:rsidP="0004249E">
      <w:pPr>
        <w:pStyle w:val="Prrafodelista"/>
        <w:spacing w:line="360" w:lineRule="auto"/>
        <w:ind w:left="1080"/>
        <w:jc w:val="both"/>
        <w:rPr>
          <w:rFonts w:ascii="Arial" w:hAnsi="Arial" w:cs="Arial"/>
          <w:sz w:val="24"/>
          <w:szCs w:val="24"/>
          <w:lang w:val="es-MX"/>
        </w:rPr>
      </w:pPr>
      <w:r w:rsidRPr="0004249E">
        <w:rPr>
          <w:rFonts w:ascii="Arial" w:hAnsi="Arial" w:cs="Arial"/>
          <w:sz w:val="24"/>
          <w:szCs w:val="24"/>
          <w:lang w:val="es-MX"/>
        </w:rPr>
        <w:t xml:space="preserve">Se determinó </w:t>
      </w:r>
      <w:bookmarkEnd w:id="4"/>
      <w:r w:rsidRPr="0004249E">
        <w:rPr>
          <w:rFonts w:ascii="Arial" w:hAnsi="Arial" w:cs="Arial"/>
          <w:sz w:val="24"/>
          <w:szCs w:val="24"/>
          <w:lang w:val="es-MX"/>
        </w:rPr>
        <w:t xml:space="preserve">que el 01/04/2020 se emitió el Cheque N. 8103943 por valor de </w:t>
      </w:r>
      <w:r w:rsidRPr="0004249E">
        <w:rPr>
          <w:rFonts w:ascii="Arial" w:hAnsi="Arial" w:cs="Arial"/>
          <w:b/>
          <w:bCs/>
          <w:sz w:val="24"/>
          <w:szCs w:val="24"/>
          <w:lang w:val="es-MX"/>
        </w:rPr>
        <w:t>$ 1,048.88</w:t>
      </w:r>
      <w:r w:rsidRPr="0004249E">
        <w:rPr>
          <w:rFonts w:ascii="Arial" w:hAnsi="Arial" w:cs="Arial"/>
          <w:sz w:val="24"/>
          <w:szCs w:val="24"/>
          <w:lang w:val="es-MX"/>
        </w:rPr>
        <w:t xml:space="preserve"> de la cuenta N. 100-160-800380-0 </w:t>
      </w:r>
      <w:r w:rsidR="00322CDC" w:rsidRPr="0004249E">
        <w:rPr>
          <w:rFonts w:ascii="Arial" w:hAnsi="Arial" w:cs="Arial"/>
          <w:sz w:val="24"/>
          <w:szCs w:val="24"/>
          <w:lang w:val="es-MX"/>
        </w:rPr>
        <w:t xml:space="preserve">FODES 25% </w:t>
      </w:r>
      <w:r w:rsidRPr="0004249E">
        <w:rPr>
          <w:rFonts w:ascii="Arial" w:hAnsi="Arial" w:cs="Arial"/>
          <w:sz w:val="24"/>
          <w:szCs w:val="24"/>
          <w:lang w:val="es-MX"/>
        </w:rPr>
        <w:t>para cancelar las facturas que respaldan las ordenes de suministro de combustible del mes de marzo 2020. Del cual incluye $868.28 que corresponde a gastos</w:t>
      </w:r>
      <w:r w:rsidR="00322CDC" w:rsidRPr="0004249E">
        <w:rPr>
          <w:rFonts w:ascii="Arial" w:hAnsi="Arial" w:cs="Arial"/>
          <w:sz w:val="24"/>
          <w:szCs w:val="24"/>
          <w:lang w:val="es-MX"/>
        </w:rPr>
        <w:t xml:space="preserve"> de combustible</w:t>
      </w:r>
      <w:r w:rsidRPr="0004249E">
        <w:rPr>
          <w:rFonts w:ascii="Arial" w:hAnsi="Arial" w:cs="Arial"/>
          <w:sz w:val="24"/>
          <w:szCs w:val="24"/>
          <w:lang w:val="es-MX"/>
        </w:rPr>
        <w:t xml:space="preserve"> de proyectos que cuentan con su respectivo presupuesto.</w:t>
      </w:r>
      <w:r w:rsidR="00AA0EEA" w:rsidRPr="0004249E">
        <w:rPr>
          <w:rFonts w:ascii="Arial" w:hAnsi="Arial" w:cs="Arial"/>
          <w:sz w:val="24"/>
          <w:szCs w:val="24"/>
          <w:lang w:val="es-MX"/>
        </w:rPr>
        <w:t xml:space="preserve"> Esto significa que debió pagarse el combustible de las cuentas de cada proyecto.</w:t>
      </w:r>
      <w:r w:rsidRPr="0004249E">
        <w:rPr>
          <w:rFonts w:ascii="Arial" w:hAnsi="Arial" w:cs="Arial"/>
          <w:sz w:val="24"/>
          <w:szCs w:val="24"/>
          <w:lang w:val="es-MX"/>
        </w:rPr>
        <w:t xml:space="preserve"> El consumo de combustible, según vehículo, se detalla a continuación:</w:t>
      </w:r>
    </w:p>
    <w:p w:rsidR="00322CDC" w:rsidRDefault="00322CDC" w:rsidP="00D14618">
      <w:pPr>
        <w:pStyle w:val="Prrafodelista"/>
        <w:spacing w:line="360" w:lineRule="auto"/>
        <w:ind w:left="1080"/>
        <w:jc w:val="both"/>
        <w:rPr>
          <w:rFonts w:ascii="Ubuntu" w:hAnsi="Ubuntu"/>
          <w:sz w:val="24"/>
          <w:szCs w:val="24"/>
          <w:lang w:val="es-MX"/>
        </w:rPr>
      </w:pPr>
    </w:p>
    <w:tbl>
      <w:tblPr>
        <w:tblW w:w="7792" w:type="dxa"/>
        <w:tblInd w:w="1032" w:type="dxa"/>
        <w:tblCellMar>
          <w:left w:w="70" w:type="dxa"/>
          <w:right w:w="70" w:type="dxa"/>
        </w:tblCellMar>
        <w:tblLook w:val="04A0" w:firstRow="1" w:lastRow="0" w:firstColumn="1" w:lastColumn="0" w:noHBand="0" w:noVBand="1"/>
      </w:tblPr>
      <w:tblGrid>
        <w:gridCol w:w="417"/>
        <w:gridCol w:w="1130"/>
        <w:gridCol w:w="1197"/>
        <w:gridCol w:w="1079"/>
        <w:gridCol w:w="3969"/>
      </w:tblGrid>
      <w:tr w:rsidR="00322CDC" w:rsidRPr="00B77699" w:rsidTr="0004249E">
        <w:trPr>
          <w:trHeight w:val="1095"/>
        </w:trPr>
        <w:tc>
          <w:tcPr>
            <w:tcW w:w="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322CDC" w:rsidRPr="00B77699" w:rsidRDefault="00322CDC" w:rsidP="00A54E3D">
            <w:pPr>
              <w:spacing w:after="0" w:line="240" w:lineRule="auto"/>
              <w:jc w:val="center"/>
              <w:rPr>
                <w:rFonts w:eastAsia="Times New Roman" w:cstheme="minorHAnsi"/>
                <w:b/>
                <w:bCs/>
                <w:color w:val="000000"/>
                <w:sz w:val="16"/>
                <w:szCs w:val="16"/>
                <w:lang w:val="es-SV" w:eastAsia="es-SV"/>
              </w:rPr>
            </w:pPr>
            <w:r w:rsidRPr="00B77699">
              <w:rPr>
                <w:rFonts w:eastAsia="Times New Roman" w:cstheme="minorHAnsi"/>
                <w:b/>
                <w:bCs/>
                <w:color w:val="000000"/>
                <w:sz w:val="16"/>
                <w:szCs w:val="16"/>
                <w:lang w:val="es-SV" w:eastAsia="es-SV"/>
              </w:rPr>
              <w:lastRenderedPageBreak/>
              <w:t>N</w:t>
            </w:r>
          </w:p>
        </w:tc>
        <w:tc>
          <w:tcPr>
            <w:tcW w:w="113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rsidR="00322CDC" w:rsidRPr="00B77699" w:rsidRDefault="00322CDC" w:rsidP="00A54E3D">
            <w:pPr>
              <w:spacing w:after="0" w:line="240" w:lineRule="auto"/>
              <w:jc w:val="center"/>
              <w:rPr>
                <w:rFonts w:eastAsia="Times New Roman" w:cstheme="minorHAnsi"/>
                <w:b/>
                <w:bCs/>
                <w:color w:val="000000"/>
                <w:sz w:val="16"/>
                <w:szCs w:val="16"/>
                <w:lang w:val="es-SV" w:eastAsia="es-SV"/>
              </w:rPr>
            </w:pPr>
            <w:r w:rsidRPr="00B77699">
              <w:rPr>
                <w:rFonts w:eastAsia="Times New Roman" w:cstheme="minorHAnsi"/>
                <w:b/>
                <w:bCs/>
                <w:color w:val="000000"/>
                <w:sz w:val="16"/>
                <w:szCs w:val="16"/>
                <w:lang w:val="es-SV" w:eastAsia="es-SV"/>
              </w:rPr>
              <w:t>VEHÍCULO</w:t>
            </w:r>
          </w:p>
        </w:tc>
        <w:tc>
          <w:tcPr>
            <w:tcW w:w="1197"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rsidR="00322CDC" w:rsidRPr="00B77699" w:rsidRDefault="00322CDC" w:rsidP="00A54E3D">
            <w:pPr>
              <w:spacing w:after="0" w:line="240" w:lineRule="auto"/>
              <w:jc w:val="center"/>
              <w:rPr>
                <w:rFonts w:eastAsia="Times New Roman" w:cstheme="minorHAnsi"/>
                <w:b/>
                <w:bCs/>
                <w:color w:val="000000"/>
                <w:sz w:val="16"/>
                <w:szCs w:val="16"/>
                <w:lang w:val="es-SV" w:eastAsia="es-SV"/>
              </w:rPr>
            </w:pPr>
            <w:r w:rsidRPr="00B77699">
              <w:rPr>
                <w:rFonts w:eastAsia="Times New Roman" w:cstheme="minorHAnsi"/>
                <w:b/>
                <w:bCs/>
                <w:color w:val="000000"/>
                <w:sz w:val="16"/>
                <w:szCs w:val="16"/>
                <w:lang w:val="es-SV" w:eastAsia="es-SV"/>
              </w:rPr>
              <w:t>GALONES DE COMBUSTIBLE</w:t>
            </w:r>
          </w:p>
        </w:tc>
        <w:tc>
          <w:tcPr>
            <w:tcW w:w="1079"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rsidR="00322CDC" w:rsidRPr="00B77699" w:rsidRDefault="00322CDC" w:rsidP="00A54E3D">
            <w:pPr>
              <w:spacing w:after="0" w:line="240" w:lineRule="auto"/>
              <w:jc w:val="center"/>
              <w:rPr>
                <w:rFonts w:eastAsia="Times New Roman" w:cstheme="minorHAnsi"/>
                <w:b/>
                <w:bCs/>
                <w:color w:val="000000"/>
                <w:sz w:val="16"/>
                <w:szCs w:val="16"/>
                <w:lang w:val="es-SV" w:eastAsia="es-SV"/>
              </w:rPr>
            </w:pPr>
            <w:r w:rsidRPr="00B77699">
              <w:rPr>
                <w:rFonts w:eastAsia="Times New Roman" w:cstheme="minorHAnsi"/>
                <w:b/>
                <w:bCs/>
                <w:color w:val="000000"/>
                <w:sz w:val="16"/>
                <w:szCs w:val="16"/>
                <w:lang w:val="es-SV" w:eastAsia="es-SV"/>
              </w:rPr>
              <w:t>MONTO EN $$$</w:t>
            </w:r>
          </w:p>
        </w:tc>
        <w:tc>
          <w:tcPr>
            <w:tcW w:w="3969" w:type="dxa"/>
            <w:tcBorders>
              <w:top w:val="single" w:sz="4" w:space="0" w:color="auto"/>
              <w:left w:val="nil"/>
              <w:bottom w:val="single" w:sz="4" w:space="0" w:color="auto"/>
              <w:right w:val="single" w:sz="4" w:space="0" w:color="auto"/>
            </w:tcBorders>
            <w:shd w:val="clear" w:color="auto" w:fill="D0CECE" w:themeFill="background2" w:themeFillShade="E6"/>
            <w:vAlign w:val="center"/>
          </w:tcPr>
          <w:p w:rsidR="00322CDC" w:rsidRPr="00B77699" w:rsidRDefault="00322CDC" w:rsidP="00A54E3D">
            <w:pPr>
              <w:spacing w:after="0" w:line="240" w:lineRule="auto"/>
              <w:rPr>
                <w:rFonts w:eastAsia="Times New Roman" w:cstheme="minorHAnsi"/>
                <w:b/>
                <w:bCs/>
                <w:color w:val="000000"/>
                <w:sz w:val="16"/>
                <w:szCs w:val="16"/>
                <w:lang w:val="es-SV" w:eastAsia="es-SV"/>
              </w:rPr>
            </w:pPr>
          </w:p>
        </w:tc>
      </w:tr>
      <w:tr w:rsidR="00322CDC" w:rsidRPr="00B77699" w:rsidTr="008B2827">
        <w:trPr>
          <w:trHeight w:val="375"/>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322CDC" w:rsidRPr="00B77699" w:rsidRDefault="00322CDC" w:rsidP="00A54E3D">
            <w:pPr>
              <w:spacing w:after="0" w:line="240" w:lineRule="auto"/>
              <w:jc w:val="center"/>
              <w:rPr>
                <w:rFonts w:eastAsia="Times New Roman" w:cstheme="minorHAnsi"/>
                <w:color w:val="000000"/>
                <w:sz w:val="16"/>
                <w:szCs w:val="16"/>
                <w:lang w:val="es-SV" w:eastAsia="es-SV"/>
              </w:rPr>
            </w:pPr>
            <w:r w:rsidRPr="00B77699">
              <w:rPr>
                <w:rFonts w:eastAsia="Times New Roman" w:cstheme="minorHAnsi"/>
                <w:color w:val="000000"/>
                <w:sz w:val="16"/>
                <w:szCs w:val="16"/>
                <w:lang w:val="es-SV" w:eastAsia="es-SV"/>
              </w:rPr>
              <w:t>1</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322CDC" w:rsidRPr="00B77699" w:rsidRDefault="00322CDC" w:rsidP="00A54E3D">
            <w:pPr>
              <w:spacing w:after="0" w:line="240" w:lineRule="auto"/>
              <w:rPr>
                <w:rFonts w:eastAsia="Times New Roman" w:cstheme="minorHAnsi"/>
                <w:color w:val="000000"/>
                <w:sz w:val="16"/>
                <w:szCs w:val="16"/>
                <w:lang w:val="es-SV" w:eastAsia="es-SV"/>
              </w:rPr>
            </w:pPr>
            <w:r w:rsidRPr="00B77699">
              <w:rPr>
                <w:rFonts w:eastAsia="Times New Roman" w:cstheme="minorHAnsi"/>
                <w:color w:val="000000"/>
                <w:sz w:val="16"/>
                <w:szCs w:val="16"/>
                <w:lang w:val="es-SV" w:eastAsia="es-SV"/>
              </w:rPr>
              <w:t>N 15-009</w:t>
            </w:r>
          </w:p>
        </w:tc>
        <w:tc>
          <w:tcPr>
            <w:tcW w:w="1197" w:type="dxa"/>
            <w:tcBorders>
              <w:top w:val="single" w:sz="4" w:space="0" w:color="auto"/>
              <w:left w:val="nil"/>
              <w:bottom w:val="single" w:sz="4" w:space="0" w:color="auto"/>
              <w:right w:val="single" w:sz="4" w:space="0" w:color="auto"/>
            </w:tcBorders>
            <w:shd w:val="clear" w:color="auto" w:fill="auto"/>
            <w:vAlign w:val="center"/>
          </w:tcPr>
          <w:p w:rsidR="00322CDC" w:rsidRPr="00B77699" w:rsidRDefault="00322CDC" w:rsidP="00A54E3D">
            <w:pPr>
              <w:spacing w:after="0" w:line="240" w:lineRule="auto"/>
              <w:jc w:val="right"/>
              <w:rPr>
                <w:rFonts w:eastAsia="Times New Roman" w:cstheme="minorHAnsi"/>
                <w:color w:val="000000"/>
                <w:sz w:val="16"/>
                <w:szCs w:val="16"/>
                <w:lang w:val="es-SV" w:eastAsia="es-SV"/>
              </w:rPr>
            </w:pPr>
            <w:r>
              <w:rPr>
                <w:rFonts w:eastAsia="Times New Roman" w:cstheme="minorHAnsi"/>
                <w:color w:val="000000"/>
                <w:sz w:val="16"/>
                <w:szCs w:val="16"/>
                <w:lang w:val="es-SV" w:eastAsia="es-SV"/>
              </w:rPr>
              <w:t>80.718</w:t>
            </w:r>
          </w:p>
        </w:tc>
        <w:tc>
          <w:tcPr>
            <w:tcW w:w="1079" w:type="dxa"/>
            <w:tcBorders>
              <w:top w:val="single" w:sz="4" w:space="0" w:color="auto"/>
              <w:left w:val="nil"/>
              <w:bottom w:val="single" w:sz="4" w:space="0" w:color="auto"/>
              <w:right w:val="single" w:sz="4" w:space="0" w:color="auto"/>
            </w:tcBorders>
            <w:shd w:val="clear" w:color="auto" w:fill="auto"/>
            <w:vAlign w:val="center"/>
          </w:tcPr>
          <w:p w:rsidR="00322CDC" w:rsidRPr="00B77699" w:rsidRDefault="00322CDC" w:rsidP="00A54E3D">
            <w:pPr>
              <w:spacing w:after="0" w:line="240" w:lineRule="auto"/>
              <w:jc w:val="right"/>
              <w:rPr>
                <w:rFonts w:eastAsia="Times New Roman" w:cstheme="minorHAnsi"/>
                <w:color w:val="000000"/>
                <w:sz w:val="16"/>
                <w:szCs w:val="16"/>
                <w:lang w:val="es-SV" w:eastAsia="es-SV"/>
              </w:rPr>
            </w:pPr>
            <w:r>
              <w:rPr>
                <w:rFonts w:eastAsia="Times New Roman" w:cstheme="minorHAnsi"/>
                <w:color w:val="000000"/>
                <w:sz w:val="16"/>
                <w:szCs w:val="16"/>
                <w:lang w:val="es-SV" w:eastAsia="es-SV"/>
              </w:rPr>
              <w:t>199.81</w:t>
            </w:r>
          </w:p>
        </w:tc>
        <w:tc>
          <w:tcPr>
            <w:tcW w:w="3969" w:type="dxa"/>
            <w:tcBorders>
              <w:top w:val="single" w:sz="4" w:space="0" w:color="auto"/>
              <w:left w:val="nil"/>
              <w:bottom w:val="single" w:sz="4" w:space="0" w:color="auto"/>
              <w:right w:val="single" w:sz="4" w:space="0" w:color="auto"/>
            </w:tcBorders>
            <w:vAlign w:val="center"/>
          </w:tcPr>
          <w:p w:rsidR="00322CDC" w:rsidRPr="00B77699" w:rsidRDefault="00322CDC" w:rsidP="00A54E3D">
            <w:pPr>
              <w:spacing w:after="0" w:line="240" w:lineRule="auto"/>
              <w:rPr>
                <w:rFonts w:eastAsia="Times New Roman" w:cstheme="minorHAnsi"/>
                <w:color w:val="000000"/>
                <w:sz w:val="16"/>
                <w:szCs w:val="16"/>
                <w:lang w:val="es-SV" w:eastAsia="es-SV"/>
              </w:rPr>
            </w:pPr>
            <w:r w:rsidRPr="00B77699">
              <w:rPr>
                <w:rFonts w:eastAsia="Times New Roman" w:cstheme="minorHAnsi"/>
                <w:color w:val="000000"/>
                <w:sz w:val="16"/>
                <w:szCs w:val="16"/>
                <w:lang w:val="es-SV" w:eastAsia="es-SV"/>
              </w:rPr>
              <w:t>Tren de Aseo</w:t>
            </w:r>
          </w:p>
        </w:tc>
      </w:tr>
      <w:tr w:rsidR="00322CDC" w:rsidRPr="00B77699" w:rsidTr="008B2827">
        <w:trPr>
          <w:trHeight w:val="375"/>
        </w:trPr>
        <w:tc>
          <w:tcPr>
            <w:tcW w:w="417" w:type="dxa"/>
            <w:tcBorders>
              <w:top w:val="nil"/>
              <w:left w:val="single" w:sz="4" w:space="0" w:color="auto"/>
              <w:bottom w:val="single" w:sz="4" w:space="0" w:color="auto"/>
              <w:right w:val="single" w:sz="4" w:space="0" w:color="auto"/>
            </w:tcBorders>
            <w:shd w:val="clear" w:color="auto" w:fill="auto"/>
            <w:vAlign w:val="center"/>
          </w:tcPr>
          <w:p w:rsidR="00322CDC" w:rsidRPr="00B77699" w:rsidRDefault="00322CDC" w:rsidP="00A54E3D">
            <w:pPr>
              <w:spacing w:after="0" w:line="240" w:lineRule="auto"/>
              <w:jc w:val="center"/>
              <w:rPr>
                <w:rFonts w:eastAsia="Times New Roman" w:cstheme="minorHAnsi"/>
                <w:color w:val="000000"/>
                <w:sz w:val="16"/>
                <w:szCs w:val="16"/>
                <w:lang w:val="es-SV" w:eastAsia="es-SV"/>
              </w:rPr>
            </w:pPr>
            <w:r w:rsidRPr="00B77699">
              <w:rPr>
                <w:rFonts w:eastAsia="Times New Roman" w:cstheme="minorHAnsi"/>
                <w:color w:val="000000"/>
                <w:sz w:val="16"/>
                <w:szCs w:val="16"/>
                <w:lang w:val="es-SV" w:eastAsia="es-SV"/>
              </w:rPr>
              <w:t>2</w:t>
            </w:r>
          </w:p>
        </w:tc>
        <w:tc>
          <w:tcPr>
            <w:tcW w:w="1130" w:type="dxa"/>
            <w:tcBorders>
              <w:top w:val="nil"/>
              <w:left w:val="nil"/>
              <w:bottom w:val="single" w:sz="4" w:space="0" w:color="auto"/>
              <w:right w:val="single" w:sz="4" w:space="0" w:color="auto"/>
            </w:tcBorders>
            <w:shd w:val="clear" w:color="auto" w:fill="auto"/>
            <w:vAlign w:val="center"/>
            <w:hideMark/>
          </w:tcPr>
          <w:p w:rsidR="00322CDC" w:rsidRPr="00B77699" w:rsidRDefault="00322CDC" w:rsidP="00A54E3D">
            <w:pPr>
              <w:spacing w:after="0" w:line="240" w:lineRule="auto"/>
              <w:rPr>
                <w:rFonts w:eastAsia="Times New Roman" w:cstheme="minorHAnsi"/>
                <w:color w:val="000000"/>
                <w:sz w:val="16"/>
                <w:szCs w:val="16"/>
                <w:lang w:val="es-SV" w:eastAsia="es-SV"/>
              </w:rPr>
            </w:pPr>
            <w:r w:rsidRPr="00B77699">
              <w:rPr>
                <w:rFonts w:eastAsia="Times New Roman" w:cstheme="minorHAnsi"/>
                <w:color w:val="000000"/>
                <w:sz w:val="16"/>
                <w:szCs w:val="16"/>
                <w:lang w:val="es-SV" w:eastAsia="es-SV"/>
              </w:rPr>
              <w:t>N 8-339</w:t>
            </w:r>
          </w:p>
        </w:tc>
        <w:tc>
          <w:tcPr>
            <w:tcW w:w="1197" w:type="dxa"/>
            <w:tcBorders>
              <w:top w:val="nil"/>
              <w:left w:val="nil"/>
              <w:bottom w:val="single" w:sz="4" w:space="0" w:color="auto"/>
              <w:right w:val="single" w:sz="4" w:space="0" w:color="auto"/>
            </w:tcBorders>
            <w:shd w:val="clear" w:color="auto" w:fill="auto"/>
            <w:vAlign w:val="center"/>
          </w:tcPr>
          <w:p w:rsidR="00322CDC" w:rsidRPr="00B77699" w:rsidRDefault="00322CDC" w:rsidP="00A54E3D">
            <w:pPr>
              <w:spacing w:after="0" w:line="240" w:lineRule="auto"/>
              <w:jc w:val="right"/>
              <w:rPr>
                <w:rFonts w:eastAsia="Times New Roman" w:cstheme="minorHAnsi"/>
                <w:color w:val="000000"/>
                <w:sz w:val="16"/>
                <w:szCs w:val="16"/>
                <w:lang w:val="es-SV" w:eastAsia="es-SV"/>
              </w:rPr>
            </w:pPr>
            <w:r>
              <w:rPr>
                <w:rFonts w:eastAsia="Times New Roman" w:cstheme="minorHAnsi"/>
                <w:color w:val="000000"/>
                <w:sz w:val="16"/>
                <w:szCs w:val="16"/>
                <w:lang w:val="es-SV" w:eastAsia="es-SV"/>
              </w:rPr>
              <w:t>70.674</w:t>
            </w:r>
          </w:p>
        </w:tc>
        <w:tc>
          <w:tcPr>
            <w:tcW w:w="1079" w:type="dxa"/>
            <w:tcBorders>
              <w:top w:val="nil"/>
              <w:left w:val="nil"/>
              <w:bottom w:val="single" w:sz="4" w:space="0" w:color="auto"/>
              <w:right w:val="single" w:sz="4" w:space="0" w:color="auto"/>
            </w:tcBorders>
            <w:shd w:val="clear" w:color="auto" w:fill="auto"/>
            <w:vAlign w:val="center"/>
          </w:tcPr>
          <w:p w:rsidR="00322CDC" w:rsidRPr="00B77699" w:rsidRDefault="00322CDC" w:rsidP="00A54E3D">
            <w:pPr>
              <w:spacing w:after="0" w:line="240" w:lineRule="auto"/>
              <w:jc w:val="right"/>
              <w:rPr>
                <w:rFonts w:eastAsia="Times New Roman" w:cstheme="minorHAnsi"/>
                <w:color w:val="000000"/>
                <w:sz w:val="16"/>
                <w:szCs w:val="16"/>
                <w:lang w:val="es-SV" w:eastAsia="es-SV"/>
              </w:rPr>
            </w:pPr>
            <w:r>
              <w:rPr>
                <w:rFonts w:eastAsia="Times New Roman" w:cstheme="minorHAnsi"/>
                <w:color w:val="000000"/>
                <w:sz w:val="16"/>
                <w:szCs w:val="16"/>
                <w:lang w:val="es-SV" w:eastAsia="es-SV"/>
              </w:rPr>
              <w:t>179.10</w:t>
            </w:r>
          </w:p>
        </w:tc>
        <w:tc>
          <w:tcPr>
            <w:tcW w:w="3969" w:type="dxa"/>
            <w:tcBorders>
              <w:top w:val="nil"/>
              <w:left w:val="nil"/>
              <w:bottom w:val="single" w:sz="4" w:space="0" w:color="auto"/>
              <w:right w:val="single" w:sz="4" w:space="0" w:color="auto"/>
            </w:tcBorders>
            <w:vAlign w:val="center"/>
          </w:tcPr>
          <w:p w:rsidR="00322CDC" w:rsidRPr="00B77699" w:rsidRDefault="00322CDC" w:rsidP="00A54E3D">
            <w:pPr>
              <w:spacing w:after="0" w:line="240" w:lineRule="auto"/>
              <w:rPr>
                <w:rFonts w:eastAsia="Times New Roman" w:cstheme="minorHAnsi"/>
                <w:color w:val="000000"/>
                <w:sz w:val="16"/>
                <w:szCs w:val="16"/>
                <w:lang w:val="es-SV" w:eastAsia="es-SV"/>
              </w:rPr>
            </w:pPr>
            <w:r w:rsidRPr="00B77699">
              <w:rPr>
                <w:rFonts w:eastAsia="Times New Roman" w:cstheme="minorHAnsi"/>
                <w:color w:val="000000"/>
                <w:sz w:val="16"/>
                <w:szCs w:val="16"/>
                <w:lang w:val="es-SV" w:eastAsia="es-SV"/>
              </w:rPr>
              <w:t>Hilux, Para Uso Institucional</w:t>
            </w:r>
          </w:p>
        </w:tc>
      </w:tr>
      <w:tr w:rsidR="00322CDC" w:rsidRPr="00B77699" w:rsidTr="008B2827">
        <w:trPr>
          <w:trHeight w:val="375"/>
        </w:trPr>
        <w:tc>
          <w:tcPr>
            <w:tcW w:w="417" w:type="dxa"/>
            <w:tcBorders>
              <w:top w:val="nil"/>
              <w:left w:val="single" w:sz="4" w:space="0" w:color="auto"/>
              <w:bottom w:val="single" w:sz="4" w:space="0" w:color="auto"/>
              <w:right w:val="single" w:sz="4" w:space="0" w:color="auto"/>
            </w:tcBorders>
            <w:shd w:val="clear" w:color="auto" w:fill="auto"/>
            <w:vAlign w:val="center"/>
          </w:tcPr>
          <w:p w:rsidR="00322CDC" w:rsidRPr="00B77699" w:rsidRDefault="00322CDC" w:rsidP="00A54E3D">
            <w:pPr>
              <w:spacing w:after="0" w:line="240" w:lineRule="auto"/>
              <w:jc w:val="center"/>
              <w:rPr>
                <w:rFonts w:eastAsia="Times New Roman" w:cstheme="minorHAnsi"/>
                <w:color w:val="000000"/>
                <w:sz w:val="16"/>
                <w:szCs w:val="16"/>
                <w:lang w:val="es-SV" w:eastAsia="es-SV"/>
              </w:rPr>
            </w:pPr>
            <w:r w:rsidRPr="00B77699">
              <w:rPr>
                <w:rFonts w:eastAsia="Times New Roman" w:cstheme="minorHAnsi"/>
                <w:color w:val="000000"/>
                <w:sz w:val="16"/>
                <w:szCs w:val="16"/>
                <w:lang w:val="es-SV" w:eastAsia="es-SV"/>
              </w:rPr>
              <w:t>3</w:t>
            </w:r>
          </w:p>
        </w:tc>
        <w:tc>
          <w:tcPr>
            <w:tcW w:w="1130" w:type="dxa"/>
            <w:tcBorders>
              <w:top w:val="nil"/>
              <w:left w:val="nil"/>
              <w:bottom w:val="single" w:sz="4" w:space="0" w:color="auto"/>
              <w:right w:val="single" w:sz="4" w:space="0" w:color="auto"/>
            </w:tcBorders>
            <w:shd w:val="clear" w:color="auto" w:fill="auto"/>
            <w:vAlign w:val="center"/>
            <w:hideMark/>
          </w:tcPr>
          <w:p w:rsidR="00322CDC" w:rsidRPr="00B77699" w:rsidRDefault="00322CDC" w:rsidP="00A54E3D">
            <w:pPr>
              <w:spacing w:after="0" w:line="240" w:lineRule="auto"/>
              <w:rPr>
                <w:rFonts w:eastAsia="Times New Roman" w:cstheme="minorHAnsi"/>
                <w:color w:val="000000"/>
                <w:sz w:val="16"/>
                <w:szCs w:val="16"/>
                <w:lang w:val="es-SV" w:eastAsia="es-SV"/>
              </w:rPr>
            </w:pPr>
            <w:r w:rsidRPr="00B77699">
              <w:rPr>
                <w:rFonts w:eastAsia="Times New Roman" w:cstheme="minorHAnsi"/>
                <w:color w:val="000000"/>
                <w:sz w:val="16"/>
                <w:szCs w:val="16"/>
                <w:lang w:val="es-SV" w:eastAsia="es-SV"/>
              </w:rPr>
              <w:t>N 8-825</w:t>
            </w:r>
          </w:p>
        </w:tc>
        <w:tc>
          <w:tcPr>
            <w:tcW w:w="1197" w:type="dxa"/>
            <w:tcBorders>
              <w:top w:val="nil"/>
              <w:left w:val="nil"/>
              <w:bottom w:val="single" w:sz="4" w:space="0" w:color="auto"/>
              <w:right w:val="single" w:sz="4" w:space="0" w:color="auto"/>
            </w:tcBorders>
            <w:shd w:val="clear" w:color="auto" w:fill="auto"/>
            <w:vAlign w:val="center"/>
          </w:tcPr>
          <w:p w:rsidR="00322CDC" w:rsidRPr="00B77699" w:rsidRDefault="00322CDC" w:rsidP="00A54E3D">
            <w:pPr>
              <w:spacing w:after="0" w:line="240" w:lineRule="auto"/>
              <w:jc w:val="right"/>
              <w:rPr>
                <w:rFonts w:eastAsia="Times New Roman" w:cstheme="minorHAnsi"/>
                <w:color w:val="000000"/>
                <w:sz w:val="16"/>
                <w:szCs w:val="16"/>
                <w:lang w:val="es-SV" w:eastAsia="es-SV"/>
              </w:rPr>
            </w:pPr>
            <w:r>
              <w:rPr>
                <w:rFonts w:eastAsia="Times New Roman" w:cstheme="minorHAnsi"/>
                <w:color w:val="000000"/>
                <w:sz w:val="16"/>
                <w:szCs w:val="16"/>
                <w:lang w:val="es-SV" w:eastAsia="es-SV"/>
              </w:rPr>
              <w:t>156.671</w:t>
            </w:r>
          </w:p>
        </w:tc>
        <w:tc>
          <w:tcPr>
            <w:tcW w:w="1079" w:type="dxa"/>
            <w:tcBorders>
              <w:top w:val="nil"/>
              <w:left w:val="nil"/>
              <w:bottom w:val="single" w:sz="4" w:space="0" w:color="auto"/>
              <w:right w:val="single" w:sz="4" w:space="0" w:color="auto"/>
            </w:tcBorders>
            <w:shd w:val="clear" w:color="auto" w:fill="auto"/>
            <w:vAlign w:val="center"/>
          </w:tcPr>
          <w:p w:rsidR="00322CDC" w:rsidRPr="00B77699" w:rsidRDefault="00322CDC" w:rsidP="00A54E3D">
            <w:pPr>
              <w:spacing w:after="0" w:line="240" w:lineRule="auto"/>
              <w:jc w:val="right"/>
              <w:rPr>
                <w:rFonts w:eastAsia="Times New Roman" w:cstheme="minorHAnsi"/>
                <w:color w:val="000000"/>
                <w:sz w:val="16"/>
                <w:szCs w:val="16"/>
                <w:lang w:val="es-SV" w:eastAsia="es-SV"/>
              </w:rPr>
            </w:pPr>
            <w:r>
              <w:rPr>
                <w:rFonts w:eastAsia="Times New Roman" w:cstheme="minorHAnsi"/>
                <w:color w:val="000000"/>
                <w:sz w:val="16"/>
                <w:szCs w:val="16"/>
                <w:lang w:val="es-SV" w:eastAsia="es-SV"/>
              </w:rPr>
              <w:t>396.57</w:t>
            </w:r>
          </w:p>
        </w:tc>
        <w:tc>
          <w:tcPr>
            <w:tcW w:w="3969" w:type="dxa"/>
            <w:tcBorders>
              <w:top w:val="nil"/>
              <w:left w:val="nil"/>
              <w:bottom w:val="single" w:sz="4" w:space="0" w:color="auto"/>
              <w:right w:val="single" w:sz="4" w:space="0" w:color="auto"/>
            </w:tcBorders>
            <w:vAlign w:val="center"/>
          </w:tcPr>
          <w:p w:rsidR="00322CDC" w:rsidRPr="00B77699" w:rsidRDefault="00322CDC" w:rsidP="00A54E3D">
            <w:pPr>
              <w:spacing w:after="0" w:line="240" w:lineRule="auto"/>
              <w:rPr>
                <w:rFonts w:eastAsia="Times New Roman" w:cstheme="minorHAnsi"/>
                <w:color w:val="000000"/>
                <w:sz w:val="16"/>
                <w:szCs w:val="16"/>
                <w:lang w:val="es-SV" w:eastAsia="es-SV"/>
              </w:rPr>
            </w:pPr>
            <w:r w:rsidRPr="00B77699">
              <w:rPr>
                <w:rFonts w:eastAsia="Times New Roman" w:cstheme="minorHAnsi"/>
                <w:color w:val="000000"/>
                <w:sz w:val="16"/>
                <w:szCs w:val="16"/>
                <w:lang w:val="es-SV" w:eastAsia="es-SV"/>
              </w:rPr>
              <w:t>Ambulancia Municipal</w:t>
            </w:r>
          </w:p>
        </w:tc>
      </w:tr>
      <w:tr w:rsidR="00322CDC" w:rsidRPr="00B77699" w:rsidTr="008B2827">
        <w:trPr>
          <w:trHeight w:val="375"/>
        </w:trPr>
        <w:tc>
          <w:tcPr>
            <w:tcW w:w="417" w:type="dxa"/>
            <w:tcBorders>
              <w:top w:val="nil"/>
              <w:left w:val="single" w:sz="4" w:space="0" w:color="auto"/>
              <w:bottom w:val="single" w:sz="4" w:space="0" w:color="auto"/>
              <w:right w:val="single" w:sz="4" w:space="0" w:color="auto"/>
            </w:tcBorders>
            <w:shd w:val="clear" w:color="auto" w:fill="auto"/>
            <w:vAlign w:val="center"/>
          </w:tcPr>
          <w:p w:rsidR="00322CDC" w:rsidRPr="00B77699" w:rsidRDefault="00322CDC" w:rsidP="00A54E3D">
            <w:pPr>
              <w:spacing w:after="0" w:line="240" w:lineRule="auto"/>
              <w:jc w:val="center"/>
              <w:rPr>
                <w:rFonts w:eastAsia="Times New Roman" w:cstheme="minorHAnsi"/>
                <w:color w:val="000000"/>
                <w:sz w:val="16"/>
                <w:szCs w:val="16"/>
                <w:lang w:val="es-SV" w:eastAsia="es-SV"/>
              </w:rPr>
            </w:pPr>
            <w:r w:rsidRPr="00B77699">
              <w:rPr>
                <w:rFonts w:eastAsia="Times New Roman" w:cstheme="minorHAnsi"/>
                <w:color w:val="000000"/>
                <w:sz w:val="16"/>
                <w:szCs w:val="16"/>
                <w:lang w:val="es-SV" w:eastAsia="es-SV"/>
              </w:rPr>
              <w:t>4</w:t>
            </w:r>
          </w:p>
        </w:tc>
        <w:tc>
          <w:tcPr>
            <w:tcW w:w="1130" w:type="dxa"/>
            <w:tcBorders>
              <w:top w:val="nil"/>
              <w:left w:val="nil"/>
              <w:bottom w:val="single" w:sz="4" w:space="0" w:color="auto"/>
              <w:right w:val="single" w:sz="4" w:space="0" w:color="auto"/>
            </w:tcBorders>
            <w:shd w:val="clear" w:color="auto" w:fill="auto"/>
            <w:vAlign w:val="center"/>
          </w:tcPr>
          <w:p w:rsidR="00322CDC" w:rsidRPr="00B77699" w:rsidRDefault="00322CDC" w:rsidP="00A54E3D">
            <w:pPr>
              <w:spacing w:after="0" w:line="240" w:lineRule="auto"/>
              <w:rPr>
                <w:rFonts w:eastAsia="Times New Roman" w:cstheme="minorHAnsi"/>
                <w:color w:val="000000"/>
                <w:sz w:val="16"/>
                <w:szCs w:val="16"/>
                <w:lang w:val="es-SV" w:eastAsia="es-SV"/>
              </w:rPr>
            </w:pPr>
            <w:r>
              <w:rPr>
                <w:rFonts w:eastAsia="Times New Roman" w:cstheme="minorHAnsi"/>
                <w:color w:val="000000"/>
                <w:sz w:val="16"/>
                <w:szCs w:val="16"/>
                <w:lang w:val="es-SV" w:eastAsia="es-SV"/>
              </w:rPr>
              <w:t>P 510-558</w:t>
            </w:r>
          </w:p>
        </w:tc>
        <w:tc>
          <w:tcPr>
            <w:tcW w:w="1197" w:type="dxa"/>
            <w:tcBorders>
              <w:top w:val="nil"/>
              <w:left w:val="nil"/>
              <w:bottom w:val="single" w:sz="4" w:space="0" w:color="auto"/>
              <w:right w:val="single" w:sz="4" w:space="0" w:color="auto"/>
            </w:tcBorders>
            <w:shd w:val="clear" w:color="auto" w:fill="auto"/>
            <w:vAlign w:val="center"/>
          </w:tcPr>
          <w:p w:rsidR="00322CDC" w:rsidRPr="00B77699" w:rsidRDefault="00322CDC" w:rsidP="00A54E3D">
            <w:pPr>
              <w:spacing w:after="0" w:line="240" w:lineRule="auto"/>
              <w:jc w:val="right"/>
              <w:rPr>
                <w:rFonts w:eastAsia="Times New Roman" w:cstheme="minorHAnsi"/>
                <w:color w:val="000000"/>
                <w:sz w:val="16"/>
                <w:szCs w:val="16"/>
                <w:lang w:val="es-SV" w:eastAsia="es-SV"/>
              </w:rPr>
            </w:pPr>
            <w:r>
              <w:rPr>
                <w:rFonts w:eastAsia="Times New Roman" w:cstheme="minorHAnsi"/>
                <w:color w:val="000000"/>
                <w:sz w:val="16"/>
                <w:szCs w:val="16"/>
                <w:lang w:val="es-SV" w:eastAsia="es-SV"/>
              </w:rPr>
              <w:t>26.008</w:t>
            </w:r>
          </w:p>
        </w:tc>
        <w:tc>
          <w:tcPr>
            <w:tcW w:w="1079" w:type="dxa"/>
            <w:tcBorders>
              <w:top w:val="nil"/>
              <w:left w:val="nil"/>
              <w:bottom w:val="single" w:sz="4" w:space="0" w:color="auto"/>
              <w:right w:val="single" w:sz="4" w:space="0" w:color="auto"/>
            </w:tcBorders>
            <w:shd w:val="clear" w:color="auto" w:fill="auto"/>
            <w:vAlign w:val="center"/>
          </w:tcPr>
          <w:p w:rsidR="00322CDC" w:rsidRPr="00B77699" w:rsidRDefault="00322CDC" w:rsidP="00A54E3D">
            <w:pPr>
              <w:spacing w:after="0" w:line="240" w:lineRule="auto"/>
              <w:jc w:val="right"/>
              <w:rPr>
                <w:rFonts w:eastAsia="Times New Roman" w:cstheme="minorHAnsi"/>
                <w:color w:val="000000"/>
                <w:sz w:val="16"/>
                <w:szCs w:val="16"/>
                <w:lang w:val="es-SV" w:eastAsia="es-SV"/>
              </w:rPr>
            </w:pPr>
            <w:r>
              <w:rPr>
                <w:rFonts w:eastAsia="Times New Roman" w:cstheme="minorHAnsi"/>
                <w:color w:val="000000"/>
                <w:sz w:val="16"/>
                <w:szCs w:val="16"/>
                <w:lang w:val="es-SV" w:eastAsia="es-SV"/>
              </w:rPr>
              <w:t>68.40</w:t>
            </w:r>
          </w:p>
        </w:tc>
        <w:tc>
          <w:tcPr>
            <w:tcW w:w="3969" w:type="dxa"/>
            <w:tcBorders>
              <w:top w:val="nil"/>
              <w:left w:val="nil"/>
              <w:bottom w:val="single" w:sz="4" w:space="0" w:color="auto"/>
              <w:right w:val="single" w:sz="4" w:space="0" w:color="auto"/>
            </w:tcBorders>
            <w:vAlign w:val="center"/>
          </w:tcPr>
          <w:p w:rsidR="00322CDC" w:rsidRPr="00B77699" w:rsidRDefault="00322CDC" w:rsidP="00A54E3D">
            <w:pPr>
              <w:spacing w:after="0" w:line="240" w:lineRule="auto"/>
              <w:rPr>
                <w:rFonts w:eastAsia="Times New Roman" w:cstheme="minorHAnsi"/>
                <w:color w:val="000000"/>
                <w:sz w:val="16"/>
                <w:szCs w:val="16"/>
                <w:lang w:val="es-SV" w:eastAsia="es-SV"/>
              </w:rPr>
            </w:pPr>
          </w:p>
        </w:tc>
      </w:tr>
      <w:tr w:rsidR="00322CDC" w:rsidRPr="00B77699" w:rsidTr="008B2827">
        <w:trPr>
          <w:trHeight w:val="375"/>
        </w:trPr>
        <w:tc>
          <w:tcPr>
            <w:tcW w:w="417" w:type="dxa"/>
            <w:tcBorders>
              <w:top w:val="nil"/>
              <w:left w:val="single" w:sz="4" w:space="0" w:color="auto"/>
              <w:bottom w:val="single" w:sz="4" w:space="0" w:color="auto"/>
              <w:right w:val="single" w:sz="4" w:space="0" w:color="auto"/>
            </w:tcBorders>
            <w:shd w:val="clear" w:color="auto" w:fill="auto"/>
            <w:vAlign w:val="center"/>
          </w:tcPr>
          <w:p w:rsidR="00322CDC" w:rsidRPr="00B77699" w:rsidRDefault="00322CDC" w:rsidP="00A54E3D">
            <w:pPr>
              <w:spacing w:after="0" w:line="240" w:lineRule="auto"/>
              <w:jc w:val="center"/>
              <w:rPr>
                <w:rFonts w:eastAsia="Times New Roman" w:cstheme="minorHAnsi"/>
                <w:color w:val="000000"/>
                <w:sz w:val="16"/>
                <w:szCs w:val="16"/>
                <w:lang w:val="es-SV" w:eastAsia="es-SV"/>
              </w:rPr>
            </w:pPr>
            <w:r w:rsidRPr="00B77699">
              <w:rPr>
                <w:rFonts w:eastAsia="Times New Roman" w:cstheme="minorHAnsi"/>
                <w:color w:val="000000"/>
                <w:sz w:val="16"/>
                <w:szCs w:val="16"/>
                <w:lang w:val="es-SV" w:eastAsia="es-SV"/>
              </w:rPr>
              <w:t>5</w:t>
            </w:r>
          </w:p>
        </w:tc>
        <w:tc>
          <w:tcPr>
            <w:tcW w:w="1130" w:type="dxa"/>
            <w:tcBorders>
              <w:top w:val="nil"/>
              <w:left w:val="nil"/>
              <w:bottom w:val="single" w:sz="4" w:space="0" w:color="auto"/>
              <w:right w:val="single" w:sz="4" w:space="0" w:color="auto"/>
            </w:tcBorders>
            <w:shd w:val="clear" w:color="auto" w:fill="auto"/>
            <w:vAlign w:val="center"/>
          </w:tcPr>
          <w:p w:rsidR="00322CDC" w:rsidRPr="00B77699" w:rsidRDefault="00322CDC" w:rsidP="00A54E3D">
            <w:pPr>
              <w:spacing w:after="0" w:line="240" w:lineRule="auto"/>
              <w:rPr>
                <w:rFonts w:eastAsia="Times New Roman" w:cstheme="minorHAnsi"/>
                <w:color w:val="000000"/>
                <w:sz w:val="16"/>
                <w:szCs w:val="16"/>
                <w:lang w:val="es-SV" w:eastAsia="es-SV"/>
              </w:rPr>
            </w:pPr>
            <w:r>
              <w:rPr>
                <w:rFonts w:eastAsia="Times New Roman" w:cstheme="minorHAnsi"/>
                <w:color w:val="000000"/>
                <w:sz w:val="16"/>
                <w:szCs w:val="16"/>
                <w:lang w:val="es-SV" w:eastAsia="es-SV"/>
              </w:rPr>
              <w:t>P 540-558</w:t>
            </w:r>
          </w:p>
        </w:tc>
        <w:tc>
          <w:tcPr>
            <w:tcW w:w="1197" w:type="dxa"/>
            <w:tcBorders>
              <w:top w:val="nil"/>
              <w:left w:val="nil"/>
              <w:bottom w:val="single" w:sz="4" w:space="0" w:color="auto"/>
              <w:right w:val="single" w:sz="4" w:space="0" w:color="auto"/>
            </w:tcBorders>
            <w:shd w:val="clear" w:color="auto" w:fill="auto"/>
            <w:vAlign w:val="center"/>
          </w:tcPr>
          <w:p w:rsidR="00322CDC" w:rsidRPr="00B77699" w:rsidRDefault="00322CDC" w:rsidP="00A54E3D">
            <w:pPr>
              <w:spacing w:after="0" w:line="240" w:lineRule="auto"/>
              <w:jc w:val="right"/>
              <w:rPr>
                <w:rFonts w:eastAsia="Times New Roman" w:cstheme="minorHAnsi"/>
                <w:color w:val="000000"/>
                <w:sz w:val="16"/>
                <w:szCs w:val="16"/>
                <w:lang w:val="es-SV" w:eastAsia="es-SV"/>
              </w:rPr>
            </w:pPr>
            <w:r>
              <w:rPr>
                <w:rFonts w:eastAsia="Times New Roman" w:cstheme="minorHAnsi"/>
                <w:color w:val="000000"/>
                <w:sz w:val="16"/>
                <w:szCs w:val="16"/>
                <w:lang w:val="es-SV" w:eastAsia="es-SV"/>
              </w:rPr>
              <w:t>20.927</w:t>
            </w:r>
          </w:p>
        </w:tc>
        <w:tc>
          <w:tcPr>
            <w:tcW w:w="1079" w:type="dxa"/>
            <w:tcBorders>
              <w:top w:val="nil"/>
              <w:left w:val="nil"/>
              <w:bottom w:val="single" w:sz="4" w:space="0" w:color="auto"/>
              <w:right w:val="single" w:sz="4" w:space="0" w:color="auto"/>
            </w:tcBorders>
            <w:shd w:val="clear" w:color="auto" w:fill="auto"/>
            <w:vAlign w:val="center"/>
          </w:tcPr>
          <w:p w:rsidR="00322CDC" w:rsidRPr="00B77699" w:rsidRDefault="00322CDC" w:rsidP="00A54E3D">
            <w:pPr>
              <w:spacing w:after="0" w:line="240" w:lineRule="auto"/>
              <w:jc w:val="right"/>
              <w:rPr>
                <w:rFonts w:eastAsia="Times New Roman" w:cstheme="minorHAnsi"/>
                <w:color w:val="000000"/>
                <w:sz w:val="16"/>
                <w:szCs w:val="16"/>
                <w:lang w:val="es-SV" w:eastAsia="es-SV"/>
              </w:rPr>
            </w:pPr>
            <w:r>
              <w:rPr>
                <w:rFonts w:eastAsia="Times New Roman" w:cstheme="minorHAnsi"/>
                <w:color w:val="000000"/>
                <w:sz w:val="16"/>
                <w:szCs w:val="16"/>
                <w:lang w:val="es-SV" w:eastAsia="es-SV"/>
              </w:rPr>
              <w:t>54.20</w:t>
            </w:r>
          </w:p>
        </w:tc>
        <w:tc>
          <w:tcPr>
            <w:tcW w:w="3969" w:type="dxa"/>
            <w:tcBorders>
              <w:top w:val="nil"/>
              <w:left w:val="nil"/>
              <w:bottom w:val="single" w:sz="4" w:space="0" w:color="auto"/>
              <w:right w:val="single" w:sz="4" w:space="0" w:color="auto"/>
            </w:tcBorders>
            <w:vAlign w:val="center"/>
          </w:tcPr>
          <w:p w:rsidR="00322CDC" w:rsidRPr="00B77699" w:rsidRDefault="00322CDC" w:rsidP="00A54E3D">
            <w:pPr>
              <w:spacing w:after="0" w:line="240" w:lineRule="auto"/>
              <w:rPr>
                <w:rFonts w:eastAsia="Times New Roman" w:cstheme="minorHAnsi"/>
                <w:color w:val="000000"/>
                <w:sz w:val="16"/>
                <w:szCs w:val="16"/>
                <w:lang w:val="es-SV" w:eastAsia="es-SV"/>
              </w:rPr>
            </w:pPr>
          </w:p>
        </w:tc>
      </w:tr>
      <w:tr w:rsidR="00322CDC" w:rsidRPr="00B77699" w:rsidTr="008B2827">
        <w:trPr>
          <w:trHeight w:val="375"/>
        </w:trPr>
        <w:tc>
          <w:tcPr>
            <w:tcW w:w="417" w:type="dxa"/>
            <w:tcBorders>
              <w:top w:val="nil"/>
              <w:left w:val="single" w:sz="4" w:space="0" w:color="auto"/>
              <w:bottom w:val="single" w:sz="4" w:space="0" w:color="auto"/>
              <w:right w:val="single" w:sz="4" w:space="0" w:color="auto"/>
            </w:tcBorders>
            <w:shd w:val="clear" w:color="auto" w:fill="auto"/>
            <w:vAlign w:val="center"/>
          </w:tcPr>
          <w:p w:rsidR="00322CDC" w:rsidRPr="00B77699" w:rsidRDefault="00322CDC" w:rsidP="00A54E3D">
            <w:pPr>
              <w:spacing w:after="0" w:line="240" w:lineRule="auto"/>
              <w:jc w:val="center"/>
              <w:rPr>
                <w:rFonts w:eastAsia="Times New Roman" w:cstheme="minorHAnsi"/>
                <w:color w:val="000000"/>
                <w:sz w:val="16"/>
                <w:szCs w:val="16"/>
                <w:lang w:val="es-SV" w:eastAsia="es-SV"/>
              </w:rPr>
            </w:pPr>
            <w:r w:rsidRPr="00B77699">
              <w:rPr>
                <w:rFonts w:eastAsia="Times New Roman" w:cstheme="minorHAnsi"/>
                <w:color w:val="000000"/>
                <w:sz w:val="16"/>
                <w:szCs w:val="16"/>
                <w:lang w:val="es-SV" w:eastAsia="es-SV"/>
              </w:rPr>
              <w:t>6</w:t>
            </w:r>
          </w:p>
        </w:tc>
        <w:tc>
          <w:tcPr>
            <w:tcW w:w="1130" w:type="dxa"/>
            <w:tcBorders>
              <w:top w:val="nil"/>
              <w:left w:val="nil"/>
              <w:bottom w:val="single" w:sz="4" w:space="0" w:color="auto"/>
              <w:right w:val="single" w:sz="4" w:space="0" w:color="auto"/>
            </w:tcBorders>
            <w:shd w:val="clear" w:color="auto" w:fill="auto"/>
            <w:vAlign w:val="center"/>
          </w:tcPr>
          <w:p w:rsidR="00322CDC" w:rsidRPr="00B77699" w:rsidRDefault="00322CDC" w:rsidP="00A54E3D">
            <w:pPr>
              <w:spacing w:after="0" w:line="240" w:lineRule="auto"/>
              <w:rPr>
                <w:rFonts w:eastAsia="Times New Roman" w:cstheme="minorHAnsi"/>
                <w:color w:val="000000"/>
                <w:sz w:val="16"/>
                <w:szCs w:val="16"/>
                <w:lang w:val="es-SV" w:eastAsia="es-SV"/>
              </w:rPr>
            </w:pPr>
            <w:r>
              <w:rPr>
                <w:rFonts w:eastAsia="Times New Roman" w:cstheme="minorHAnsi"/>
                <w:color w:val="000000"/>
                <w:sz w:val="16"/>
                <w:szCs w:val="16"/>
                <w:lang w:val="es-SV" w:eastAsia="es-SV"/>
              </w:rPr>
              <w:t>P 815-555</w:t>
            </w:r>
          </w:p>
        </w:tc>
        <w:tc>
          <w:tcPr>
            <w:tcW w:w="1197" w:type="dxa"/>
            <w:tcBorders>
              <w:top w:val="nil"/>
              <w:left w:val="nil"/>
              <w:bottom w:val="single" w:sz="4" w:space="0" w:color="auto"/>
              <w:right w:val="single" w:sz="4" w:space="0" w:color="auto"/>
            </w:tcBorders>
            <w:shd w:val="clear" w:color="auto" w:fill="auto"/>
            <w:vAlign w:val="center"/>
          </w:tcPr>
          <w:p w:rsidR="00322CDC" w:rsidRPr="00B77699" w:rsidRDefault="00322CDC" w:rsidP="00A54E3D">
            <w:pPr>
              <w:spacing w:after="0" w:line="240" w:lineRule="auto"/>
              <w:jc w:val="right"/>
              <w:rPr>
                <w:rFonts w:eastAsia="Times New Roman" w:cstheme="minorHAnsi"/>
                <w:color w:val="000000"/>
                <w:sz w:val="16"/>
                <w:szCs w:val="16"/>
                <w:lang w:val="es-SV" w:eastAsia="es-SV"/>
              </w:rPr>
            </w:pPr>
            <w:r>
              <w:rPr>
                <w:rFonts w:eastAsia="Times New Roman" w:cstheme="minorHAnsi"/>
                <w:color w:val="000000"/>
                <w:sz w:val="16"/>
                <w:szCs w:val="16"/>
                <w:lang w:val="es-SV" w:eastAsia="es-SV"/>
              </w:rPr>
              <w:t>16.842</w:t>
            </w:r>
          </w:p>
        </w:tc>
        <w:tc>
          <w:tcPr>
            <w:tcW w:w="1079" w:type="dxa"/>
            <w:tcBorders>
              <w:top w:val="nil"/>
              <w:left w:val="nil"/>
              <w:bottom w:val="single" w:sz="4" w:space="0" w:color="auto"/>
              <w:right w:val="single" w:sz="4" w:space="0" w:color="auto"/>
            </w:tcBorders>
            <w:shd w:val="clear" w:color="auto" w:fill="auto"/>
            <w:vAlign w:val="center"/>
          </w:tcPr>
          <w:p w:rsidR="00322CDC" w:rsidRPr="00B77699" w:rsidRDefault="00322CDC" w:rsidP="00A54E3D">
            <w:pPr>
              <w:spacing w:after="0" w:line="240" w:lineRule="auto"/>
              <w:jc w:val="right"/>
              <w:rPr>
                <w:rFonts w:eastAsia="Times New Roman" w:cstheme="minorHAnsi"/>
                <w:color w:val="000000"/>
                <w:sz w:val="16"/>
                <w:szCs w:val="16"/>
                <w:lang w:val="es-SV" w:eastAsia="es-SV"/>
              </w:rPr>
            </w:pPr>
            <w:r>
              <w:rPr>
                <w:rFonts w:eastAsia="Times New Roman" w:cstheme="minorHAnsi"/>
                <w:color w:val="000000"/>
                <w:sz w:val="16"/>
                <w:szCs w:val="16"/>
                <w:lang w:val="es-SV" w:eastAsia="es-SV"/>
              </w:rPr>
              <w:t>48.00</w:t>
            </w:r>
          </w:p>
        </w:tc>
        <w:tc>
          <w:tcPr>
            <w:tcW w:w="3969" w:type="dxa"/>
            <w:tcBorders>
              <w:top w:val="nil"/>
              <w:left w:val="nil"/>
              <w:bottom w:val="single" w:sz="4" w:space="0" w:color="auto"/>
              <w:right w:val="single" w:sz="4" w:space="0" w:color="auto"/>
            </w:tcBorders>
            <w:vAlign w:val="center"/>
          </w:tcPr>
          <w:p w:rsidR="00322CDC" w:rsidRPr="00B77699" w:rsidRDefault="00322CDC" w:rsidP="00A54E3D">
            <w:pPr>
              <w:spacing w:after="0" w:line="240" w:lineRule="auto"/>
              <w:rPr>
                <w:rFonts w:eastAsia="Times New Roman" w:cstheme="minorHAnsi"/>
                <w:color w:val="000000"/>
                <w:sz w:val="16"/>
                <w:szCs w:val="16"/>
                <w:lang w:val="es-SV" w:eastAsia="es-SV"/>
              </w:rPr>
            </w:pPr>
            <w:r w:rsidRPr="00B77699">
              <w:rPr>
                <w:rFonts w:eastAsia="Times New Roman" w:cstheme="minorHAnsi"/>
                <w:color w:val="000000"/>
                <w:sz w:val="16"/>
                <w:szCs w:val="16"/>
                <w:lang w:val="es-SV" w:eastAsia="es-SV"/>
              </w:rPr>
              <w:t>Vehículo Particular</w:t>
            </w:r>
          </w:p>
        </w:tc>
      </w:tr>
      <w:tr w:rsidR="00322CDC" w:rsidRPr="00B77699" w:rsidTr="008B2827">
        <w:trPr>
          <w:trHeight w:val="375"/>
        </w:trPr>
        <w:tc>
          <w:tcPr>
            <w:tcW w:w="417" w:type="dxa"/>
            <w:tcBorders>
              <w:top w:val="nil"/>
              <w:left w:val="single" w:sz="4" w:space="0" w:color="auto"/>
              <w:bottom w:val="single" w:sz="4" w:space="0" w:color="auto"/>
              <w:right w:val="single" w:sz="4" w:space="0" w:color="auto"/>
            </w:tcBorders>
            <w:shd w:val="clear" w:color="auto" w:fill="auto"/>
            <w:vAlign w:val="center"/>
          </w:tcPr>
          <w:p w:rsidR="00322CDC" w:rsidRPr="00B77699" w:rsidRDefault="00322CDC" w:rsidP="00A54E3D">
            <w:pPr>
              <w:spacing w:after="0" w:line="240" w:lineRule="auto"/>
              <w:jc w:val="center"/>
              <w:rPr>
                <w:rFonts w:eastAsia="Times New Roman" w:cstheme="minorHAnsi"/>
                <w:color w:val="000000"/>
                <w:sz w:val="16"/>
                <w:szCs w:val="16"/>
                <w:lang w:val="es-SV" w:eastAsia="es-SV"/>
              </w:rPr>
            </w:pPr>
            <w:r w:rsidRPr="00B77699">
              <w:rPr>
                <w:rFonts w:eastAsia="Times New Roman" w:cstheme="minorHAnsi"/>
                <w:color w:val="000000"/>
                <w:sz w:val="16"/>
                <w:szCs w:val="16"/>
                <w:lang w:val="es-SV" w:eastAsia="es-SV"/>
              </w:rPr>
              <w:t>7</w:t>
            </w:r>
          </w:p>
        </w:tc>
        <w:tc>
          <w:tcPr>
            <w:tcW w:w="1130" w:type="dxa"/>
            <w:tcBorders>
              <w:top w:val="nil"/>
              <w:left w:val="nil"/>
              <w:bottom w:val="single" w:sz="4" w:space="0" w:color="auto"/>
              <w:right w:val="single" w:sz="4" w:space="0" w:color="auto"/>
            </w:tcBorders>
            <w:shd w:val="clear" w:color="auto" w:fill="auto"/>
            <w:vAlign w:val="center"/>
            <w:hideMark/>
          </w:tcPr>
          <w:p w:rsidR="00322CDC" w:rsidRPr="00B77699" w:rsidRDefault="00322CDC" w:rsidP="00A54E3D">
            <w:pPr>
              <w:spacing w:after="0" w:line="240" w:lineRule="auto"/>
              <w:rPr>
                <w:rFonts w:eastAsia="Times New Roman" w:cstheme="minorHAnsi"/>
                <w:color w:val="000000"/>
                <w:sz w:val="16"/>
                <w:szCs w:val="16"/>
                <w:lang w:val="es-SV" w:eastAsia="es-SV"/>
              </w:rPr>
            </w:pPr>
            <w:r w:rsidRPr="00B77699">
              <w:rPr>
                <w:rFonts w:eastAsia="Times New Roman" w:cstheme="minorHAnsi"/>
                <w:color w:val="000000"/>
                <w:sz w:val="16"/>
                <w:szCs w:val="16"/>
                <w:lang w:val="es-SV" w:eastAsia="es-SV"/>
              </w:rPr>
              <w:t xml:space="preserve">P </w:t>
            </w:r>
            <w:r>
              <w:rPr>
                <w:rFonts w:eastAsia="Times New Roman" w:cstheme="minorHAnsi"/>
                <w:color w:val="000000"/>
                <w:sz w:val="16"/>
                <w:szCs w:val="16"/>
                <w:lang w:val="es-SV" w:eastAsia="es-SV"/>
              </w:rPr>
              <w:t>94-939</w:t>
            </w:r>
          </w:p>
        </w:tc>
        <w:tc>
          <w:tcPr>
            <w:tcW w:w="1197" w:type="dxa"/>
            <w:tcBorders>
              <w:top w:val="nil"/>
              <w:left w:val="nil"/>
              <w:bottom w:val="single" w:sz="4" w:space="0" w:color="auto"/>
              <w:right w:val="single" w:sz="4" w:space="0" w:color="auto"/>
            </w:tcBorders>
            <w:shd w:val="clear" w:color="auto" w:fill="auto"/>
            <w:vAlign w:val="center"/>
          </w:tcPr>
          <w:p w:rsidR="00322CDC" w:rsidRPr="00B77699" w:rsidRDefault="00322CDC" w:rsidP="00A54E3D">
            <w:pPr>
              <w:spacing w:after="0" w:line="240" w:lineRule="auto"/>
              <w:jc w:val="right"/>
              <w:rPr>
                <w:rFonts w:eastAsia="Times New Roman" w:cstheme="minorHAnsi"/>
                <w:color w:val="000000"/>
                <w:sz w:val="16"/>
                <w:szCs w:val="16"/>
                <w:lang w:val="es-SV" w:eastAsia="es-SV"/>
              </w:rPr>
            </w:pPr>
            <w:r>
              <w:rPr>
                <w:rFonts w:eastAsia="Times New Roman" w:cstheme="minorHAnsi"/>
                <w:color w:val="000000"/>
                <w:sz w:val="16"/>
                <w:szCs w:val="16"/>
                <w:lang w:val="es-SV" w:eastAsia="es-SV"/>
              </w:rPr>
              <w:t>3.509</w:t>
            </w:r>
          </w:p>
        </w:tc>
        <w:tc>
          <w:tcPr>
            <w:tcW w:w="1079" w:type="dxa"/>
            <w:tcBorders>
              <w:top w:val="nil"/>
              <w:left w:val="nil"/>
              <w:bottom w:val="single" w:sz="4" w:space="0" w:color="auto"/>
              <w:right w:val="single" w:sz="4" w:space="0" w:color="auto"/>
            </w:tcBorders>
            <w:shd w:val="clear" w:color="auto" w:fill="auto"/>
            <w:vAlign w:val="center"/>
          </w:tcPr>
          <w:p w:rsidR="00322CDC" w:rsidRPr="00B77699" w:rsidRDefault="00322CDC" w:rsidP="00A54E3D">
            <w:pPr>
              <w:spacing w:after="0" w:line="240" w:lineRule="auto"/>
              <w:jc w:val="right"/>
              <w:rPr>
                <w:rFonts w:eastAsia="Times New Roman" w:cstheme="minorHAnsi"/>
                <w:color w:val="000000"/>
                <w:sz w:val="16"/>
                <w:szCs w:val="16"/>
                <w:lang w:val="es-SV" w:eastAsia="es-SV"/>
              </w:rPr>
            </w:pPr>
            <w:r>
              <w:rPr>
                <w:rFonts w:eastAsia="Times New Roman" w:cstheme="minorHAnsi"/>
                <w:color w:val="000000"/>
                <w:sz w:val="16"/>
                <w:szCs w:val="16"/>
                <w:lang w:val="es-SV" w:eastAsia="es-SV"/>
              </w:rPr>
              <w:t>10.00</w:t>
            </w:r>
          </w:p>
        </w:tc>
        <w:tc>
          <w:tcPr>
            <w:tcW w:w="3969" w:type="dxa"/>
            <w:tcBorders>
              <w:top w:val="nil"/>
              <w:left w:val="nil"/>
              <w:bottom w:val="single" w:sz="4" w:space="0" w:color="auto"/>
              <w:right w:val="single" w:sz="4" w:space="0" w:color="auto"/>
            </w:tcBorders>
            <w:vAlign w:val="center"/>
          </w:tcPr>
          <w:p w:rsidR="00322CDC" w:rsidRPr="00B77699" w:rsidRDefault="00322CDC" w:rsidP="00A54E3D">
            <w:pPr>
              <w:spacing w:after="0" w:line="240" w:lineRule="auto"/>
              <w:rPr>
                <w:rFonts w:eastAsia="Times New Roman" w:cstheme="minorHAnsi"/>
                <w:color w:val="000000"/>
                <w:sz w:val="16"/>
                <w:szCs w:val="16"/>
                <w:lang w:val="es-SV" w:eastAsia="es-SV"/>
              </w:rPr>
            </w:pPr>
            <w:r w:rsidRPr="00B77699">
              <w:rPr>
                <w:rFonts w:eastAsia="Times New Roman" w:cstheme="minorHAnsi"/>
                <w:color w:val="000000"/>
                <w:sz w:val="16"/>
                <w:szCs w:val="16"/>
                <w:lang w:val="es-SV" w:eastAsia="es-SV"/>
              </w:rPr>
              <w:t>Vehículo Particular</w:t>
            </w:r>
          </w:p>
        </w:tc>
      </w:tr>
      <w:tr w:rsidR="00322CDC" w:rsidRPr="00B77699" w:rsidTr="008B2827">
        <w:trPr>
          <w:trHeight w:val="375"/>
        </w:trPr>
        <w:tc>
          <w:tcPr>
            <w:tcW w:w="417" w:type="dxa"/>
            <w:tcBorders>
              <w:top w:val="nil"/>
              <w:left w:val="single" w:sz="4" w:space="0" w:color="auto"/>
              <w:bottom w:val="single" w:sz="4" w:space="0" w:color="auto"/>
              <w:right w:val="single" w:sz="4" w:space="0" w:color="auto"/>
            </w:tcBorders>
            <w:shd w:val="clear" w:color="auto" w:fill="auto"/>
            <w:vAlign w:val="center"/>
          </w:tcPr>
          <w:p w:rsidR="00322CDC" w:rsidRPr="00B77699" w:rsidRDefault="00322CDC" w:rsidP="00A54E3D">
            <w:pPr>
              <w:spacing w:after="0" w:line="240" w:lineRule="auto"/>
              <w:jc w:val="center"/>
              <w:rPr>
                <w:rFonts w:eastAsia="Times New Roman" w:cstheme="minorHAnsi"/>
                <w:color w:val="000000"/>
                <w:sz w:val="16"/>
                <w:szCs w:val="16"/>
                <w:lang w:val="es-SV" w:eastAsia="es-SV"/>
              </w:rPr>
            </w:pPr>
            <w:r w:rsidRPr="00B77699">
              <w:rPr>
                <w:rFonts w:eastAsia="Times New Roman" w:cstheme="minorHAnsi"/>
                <w:color w:val="000000"/>
                <w:sz w:val="16"/>
                <w:szCs w:val="16"/>
                <w:lang w:val="es-SV" w:eastAsia="es-SV"/>
              </w:rPr>
              <w:t>8</w:t>
            </w:r>
          </w:p>
        </w:tc>
        <w:tc>
          <w:tcPr>
            <w:tcW w:w="1130" w:type="dxa"/>
            <w:tcBorders>
              <w:top w:val="nil"/>
              <w:left w:val="nil"/>
              <w:bottom w:val="single" w:sz="4" w:space="0" w:color="auto"/>
              <w:right w:val="single" w:sz="4" w:space="0" w:color="auto"/>
            </w:tcBorders>
            <w:shd w:val="clear" w:color="auto" w:fill="auto"/>
            <w:vAlign w:val="center"/>
            <w:hideMark/>
          </w:tcPr>
          <w:p w:rsidR="00322CDC" w:rsidRPr="00B77699" w:rsidRDefault="00322CDC" w:rsidP="00A54E3D">
            <w:pPr>
              <w:spacing w:after="0" w:line="240" w:lineRule="auto"/>
              <w:rPr>
                <w:rFonts w:eastAsia="Times New Roman" w:cstheme="minorHAnsi"/>
                <w:color w:val="000000"/>
                <w:sz w:val="16"/>
                <w:szCs w:val="16"/>
                <w:lang w:val="es-SV" w:eastAsia="es-SV"/>
              </w:rPr>
            </w:pPr>
            <w:r w:rsidRPr="00B77699">
              <w:rPr>
                <w:rFonts w:eastAsia="Times New Roman" w:cstheme="minorHAnsi"/>
                <w:color w:val="000000"/>
                <w:sz w:val="16"/>
                <w:szCs w:val="16"/>
                <w:lang w:val="es-SV" w:eastAsia="es-SV"/>
              </w:rPr>
              <w:t>PICHINGA</w:t>
            </w:r>
          </w:p>
        </w:tc>
        <w:tc>
          <w:tcPr>
            <w:tcW w:w="1197" w:type="dxa"/>
            <w:tcBorders>
              <w:top w:val="nil"/>
              <w:left w:val="nil"/>
              <w:bottom w:val="single" w:sz="4" w:space="0" w:color="auto"/>
              <w:right w:val="single" w:sz="4" w:space="0" w:color="auto"/>
            </w:tcBorders>
            <w:shd w:val="clear" w:color="auto" w:fill="auto"/>
            <w:vAlign w:val="center"/>
            <w:hideMark/>
          </w:tcPr>
          <w:p w:rsidR="00322CDC" w:rsidRPr="00B77699" w:rsidRDefault="00322CDC" w:rsidP="00A54E3D">
            <w:pPr>
              <w:spacing w:after="0" w:line="240" w:lineRule="auto"/>
              <w:jc w:val="right"/>
              <w:rPr>
                <w:rFonts w:eastAsia="Times New Roman" w:cstheme="minorHAnsi"/>
                <w:color w:val="000000"/>
                <w:sz w:val="16"/>
                <w:szCs w:val="16"/>
                <w:lang w:val="es-SV" w:eastAsia="es-SV"/>
              </w:rPr>
            </w:pPr>
            <w:r>
              <w:rPr>
                <w:rFonts w:eastAsia="Times New Roman" w:cstheme="minorHAnsi"/>
                <w:color w:val="000000"/>
                <w:sz w:val="16"/>
                <w:szCs w:val="16"/>
                <w:lang w:val="es-SV" w:eastAsia="es-SV"/>
              </w:rPr>
              <w:t>35.071</w:t>
            </w:r>
          </w:p>
        </w:tc>
        <w:tc>
          <w:tcPr>
            <w:tcW w:w="1079" w:type="dxa"/>
            <w:tcBorders>
              <w:top w:val="nil"/>
              <w:left w:val="nil"/>
              <w:bottom w:val="single" w:sz="4" w:space="0" w:color="auto"/>
              <w:right w:val="single" w:sz="4" w:space="0" w:color="auto"/>
            </w:tcBorders>
            <w:shd w:val="clear" w:color="auto" w:fill="auto"/>
            <w:vAlign w:val="center"/>
            <w:hideMark/>
          </w:tcPr>
          <w:p w:rsidR="00322CDC" w:rsidRPr="00B77699" w:rsidRDefault="00322CDC" w:rsidP="00A54E3D">
            <w:pPr>
              <w:spacing w:after="0" w:line="240" w:lineRule="auto"/>
              <w:jc w:val="right"/>
              <w:rPr>
                <w:rFonts w:eastAsia="Times New Roman" w:cstheme="minorHAnsi"/>
                <w:color w:val="000000"/>
                <w:sz w:val="16"/>
                <w:szCs w:val="16"/>
                <w:lang w:val="es-SV" w:eastAsia="es-SV"/>
              </w:rPr>
            </w:pPr>
            <w:r>
              <w:rPr>
                <w:rFonts w:eastAsia="Times New Roman" w:cstheme="minorHAnsi"/>
                <w:color w:val="000000"/>
                <w:sz w:val="16"/>
                <w:szCs w:val="16"/>
                <w:lang w:val="es-SV" w:eastAsia="es-SV"/>
              </w:rPr>
              <w:t>92.80</w:t>
            </w:r>
            <w:r w:rsidRPr="00B77699">
              <w:rPr>
                <w:rFonts w:eastAsia="Times New Roman" w:cstheme="minorHAnsi"/>
                <w:color w:val="000000"/>
                <w:sz w:val="16"/>
                <w:szCs w:val="16"/>
                <w:lang w:val="es-SV" w:eastAsia="es-SV"/>
              </w:rPr>
              <w:t xml:space="preserve"> </w:t>
            </w:r>
          </w:p>
        </w:tc>
        <w:tc>
          <w:tcPr>
            <w:tcW w:w="3969" w:type="dxa"/>
            <w:tcBorders>
              <w:top w:val="nil"/>
              <w:left w:val="nil"/>
              <w:bottom w:val="single" w:sz="4" w:space="0" w:color="auto"/>
              <w:right w:val="single" w:sz="4" w:space="0" w:color="auto"/>
            </w:tcBorders>
            <w:vAlign w:val="center"/>
          </w:tcPr>
          <w:p w:rsidR="00322CDC" w:rsidRPr="00B77699" w:rsidRDefault="00322CDC" w:rsidP="00A54E3D">
            <w:pPr>
              <w:spacing w:after="0" w:line="240" w:lineRule="auto"/>
              <w:rPr>
                <w:rFonts w:eastAsia="Times New Roman" w:cstheme="minorHAnsi"/>
                <w:color w:val="000000"/>
                <w:sz w:val="16"/>
                <w:szCs w:val="16"/>
                <w:lang w:val="es-SV" w:eastAsia="es-SV"/>
              </w:rPr>
            </w:pPr>
            <w:r w:rsidRPr="00B77699">
              <w:rPr>
                <w:rFonts w:eastAsia="Times New Roman" w:cstheme="minorHAnsi"/>
                <w:color w:val="000000"/>
                <w:sz w:val="16"/>
                <w:szCs w:val="16"/>
                <w:lang w:val="es-SV" w:eastAsia="es-SV"/>
              </w:rPr>
              <w:t xml:space="preserve">Áreas Recreativas y Mantenimiento de </w:t>
            </w:r>
            <w:proofErr w:type="spellStart"/>
            <w:r w:rsidRPr="00B77699">
              <w:rPr>
                <w:rFonts w:eastAsia="Times New Roman" w:cstheme="minorHAnsi"/>
                <w:color w:val="000000"/>
                <w:sz w:val="16"/>
                <w:szCs w:val="16"/>
                <w:lang w:val="es-SV" w:eastAsia="es-SV"/>
              </w:rPr>
              <w:t>Serv</w:t>
            </w:r>
            <w:proofErr w:type="spellEnd"/>
            <w:r w:rsidRPr="00B77699">
              <w:rPr>
                <w:rFonts w:eastAsia="Times New Roman" w:cstheme="minorHAnsi"/>
                <w:color w:val="000000"/>
                <w:sz w:val="16"/>
                <w:szCs w:val="16"/>
                <w:lang w:val="es-SV" w:eastAsia="es-SV"/>
              </w:rPr>
              <w:t>. Munic</w:t>
            </w:r>
            <w:r>
              <w:rPr>
                <w:rFonts w:eastAsia="Times New Roman" w:cstheme="minorHAnsi"/>
                <w:color w:val="000000"/>
                <w:sz w:val="16"/>
                <w:szCs w:val="16"/>
                <w:lang w:val="es-SV" w:eastAsia="es-SV"/>
              </w:rPr>
              <w:t>ipales</w:t>
            </w:r>
            <w:r w:rsidRPr="00B77699">
              <w:rPr>
                <w:rFonts w:eastAsia="Times New Roman" w:cstheme="minorHAnsi"/>
                <w:color w:val="000000"/>
                <w:sz w:val="16"/>
                <w:szCs w:val="16"/>
                <w:lang w:val="es-SV" w:eastAsia="es-SV"/>
              </w:rPr>
              <w:t>.</w:t>
            </w:r>
          </w:p>
        </w:tc>
      </w:tr>
      <w:tr w:rsidR="00322CDC" w:rsidRPr="00B77699" w:rsidTr="008B2827">
        <w:trPr>
          <w:trHeight w:val="31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322CDC" w:rsidRPr="00B77699" w:rsidRDefault="00322CDC" w:rsidP="00A54E3D">
            <w:pPr>
              <w:spacing w:after="0" w:line="240" w:lineRule="auto"/>
              <w:rPr>
                <w:rFonts w:eastAsia="Times New Roman" w:cstheme="minorHAnsi"/>
                <w:color w:val="000000"/>
                <w:sz w:val="16"/>
                <w:szCs w:val="16"/>
                <w:lang w:val="es-SV" w:eastAsia="es-SV"/>
              </w:rPr>
            </w:pPr>
            <w:r w:rsidRPr="00B77699">
              <w:rPr>
                <w:rFonts w:eastAsia="Times New Roman" w:cstheme="minorHAnsi"/>
                <w:color w:val="000000"/>
                <w:sz w:val="16"/>
                <w:szCs w:val="16"/>
                <w:lang w:val="es-SV" w:eastAsia="es-SV"/>
              </w:rPr>
              <w:t> </w:t>
            </w:r>
          </w:p>
        </w:tc>
        <w:tc>
          <w:tcPr>
            <w:tcW w:w="1130" w:type="dxa"/>
            <w:tcBorders>
              <w:top w:val="nil"/>
              <w:left w:val="nil"/>
              <w:bottom w:val="single" w:sz="4" w:space="0" w:color="auto"/>
              <w:right w:val="single" w:sz="4" w:space="0" w:color="auto"/>
            </w:tcBorders>
            <w:shd w:val="clear" w:color="auto" w:fill="auto"/>
            <w:vAlign w:val="center"/>
            <w:hideMark/>
          </w:tcPr>
          <w:p w:rsidR="00322CDC" w:rsidRPr="00B77699" w:rsidRDefault="00322CDC" w:rsidP="00A54E3D">
            <w:pPr>
              <w:spacing w:after="0" w:line="240" w:lineRule="auto"/>
              <w:rPr>
                <w:rFonts w:eastAsia="Times New Roman" w:cstheme="minorHAnsi"/>
                <w:color w:val="000000"/>
                <w:sz w:val="16"/>
                <w:szCs w:val="16"/>
                <w:lang w:val="es-SV" w:eastAsia="es-SV"/>
              </w:rPr>
            </w:pPr>
            <w:r w:rsidRPr="00B77699">
              <w:rPr>
                <w:rFonts w:eastAsia="Times New Roman" w:cstheme="minorHAnsi"/>
                <w:color w:val="000000"/>
                <w:sz w:val="16"/>
                <w:szCs w:val="16"/>
                <w:lang w:val="es-SV" w:eastAsia="es-SV"/>
              </w:rPr>
              <w:t> </w:t>
            </w:r>
          </w:p>
        </w:tc>
        <w:tc>
          <w:tcPr>
            <w:tcW w:w="1197" w:type="dxa"/>
            <w:tcBorders>
              <w:top w:val="nil"/>
              <w:left w:val="nil"/>
              <w:bottom w:val="single" w:sz="4" w:space="0" w:color="auto"/>
              <w:right w:val="single" w:sz="4" w:space="0" w:color="auto"/>
            </w:tcBorders>
            <w:shd w:val="clear" w:color="auto" w:fill="auto"/>
            <w:noWrap/>
            <w:vAlign w:val="bottom"/>
            <w:hideMark/>
          </w:tcPr>
          <w:p w:rsidR="00322CDC" w:rsidRPr="00B77699" w:rsidRDefault="00322CDC" w:rsidP="00A54E3D">
            <w:pPr>
              <w:spacing w:after="0" w:line="240" w:lineRule="auto"/>
              <w:ind w:firstLineChars="100" w:firstLine="160"/>
              <w:jc w:val="right"/>
              <w:rPr>
                <w:rFonts w:eastAsia="Times New Roman" w:cstheme="minorHAnsi"/>
                <w:color w:val="000000"/>
                <w:sz w:val="16"/>
                <w:szCs w:val="16"/>
                <w:lang w:val="es-SV" w:eastAsia="es-SV"/>
              </w:rPr>
            </w:pPr>
            <w:r w:rsidRPr="00B77699">
              <w:rPr>
                <w:rFonts w:eastAsia="Times New Roman" w:cstheme="minorHAnsi"/>
                <w:color w:val="000000"/>
                <w:sz w:val="16"/>
                <w:szCs w:val="16"/>
                <w:lang w:val="es-SV" w:eastAsia="es-SV"/>
              </w:rPr>
              <w:t xml:space="preserve">        </w:t>
            </w:r>
            <w:r>
              <w:rPr>
                <w:rFonts w:eastAsia="Times New Roman" w:cstheme="minorHAnsi"/>
                <w:color w:val="000000"/>
                <w:sz w:val="16"/>
                <w:szCs w:val="16"/>
                <w:lang w:val="es-SV" w:eastAsia="es-SV"/>
              </w:rPr>
              <w:t>410.42</w:t>
            </w:r>
            <w:r w:rsidRPr="00B77699">
              <w:rPr>
                <w:rFonts w:eastAsia="Times New Roman" w:cstheme="minorHAnsi"/>
                <w:color w:val="000000"/>
                <w:sz w:val="16"/>
                <w:szCs w:val="16"/>
                <w:lang w:val="es-SV" w:eastAsia="es-SV"/>
              </w:rPr>
              <w:t xml:space="preserve"> </w:t>
            </w:r>
          </w:p>
        </w:tc>
        <w:tc>
          <w:tcPr>
            <w:tcW w:w="1079" w:type="dxa"/>
            <w:tcBorders>
              <w:top w:val="nil"/>
              <w:left w:val="nil"/>
              <w:bottom w:val="single" w:sz="4" w:space="0" w:color="auto"/>
              <w:right w:val="single" w:sz="4" w:space="0" w:color="auto"/>
            </w:tcBorders>
            <w:shd w:val="clear" w:color="auto" w:fill="auto"/>
            <w:noWrap/>
            <w:vAlign w:val="bottom"/>
            <w:hideMark/>
          </w:tcPr>
          <w:p w:rsidR="00322CDC" w:rsidRPr="00B77699" w:rsidRDefault="00322CDC" w:rsidP="00A54E3D">
            <w:pPr>
              <w:spacing w:after="0" w:line="240" w:lineRule="auto"/>
              <w:jc w:val="right"/>
              <w:rPr>
                <w:rFonts w:eastAsia="Times New Roman" w:cstheme="minorHAnsi"/>
                <w:b/>
                <w:bCs/>
                <w:color w:val="000000"/>
                <w:sz w:val="16"/>
                <w:szCs w:val="16"/>
                <w:lang w:val="es-SV" w:eastAsia="es-SV"/>
              </w:rPr>
            </w:pPr>
            <w:r w:rsidRPr="00B77699">
              <w:rPr>
                <w:rFonts w:eastAsia="Times New Roman" w:cstheme="minorHAnsi"/>
                <w:b/>
                <w:bCs/>
                <w:color w:val="000000"/>
                <w:sz w:val="16"/>
                <w:szCs w:val="16"/>
                <w:lang w:val="es-SV" w:eastAsia="es-SV"/>
              </w:rPr>
              <w:t xml:space="preserve"> 1,</w:t>
            </w:r>
            <w:r>
              <w:rPr>
                <w:rFonts w:eastAsia="Times New Roman" w:cstheme="minorHAnsi"/>
                <w:b/>
                <w:bCs/>
                <w:color w:val="000000"/>
                <w:sz w:val="16"/>
                <w:szCs w:val="16"/>
                <w:lang w:val="es-SV" w:eastAsia="es-SV"/>
              </w:rPr>
              <w:t>048</w:t>
            </w:r>
            <w:r w:rsidRPr="00B77699">
              <w:rPr>
                <w:rFonts w:eastAsia="Times New Roman" w:cstheme="minorHAnsi"/>
                <w:b/>
                <w:bCs/>
                <w:color w:val="000000"/>
                <w:sz w:val="16"/>
                <w:szCs w:val="16"/>
                <w:lang w:val="es-SV" w:eastAsia="es-SV"/>
              </w:rPr>
              <w:t>.</w:t>
            </w:r>
            <w:r>
              <w:rPr>
                <w:rFonts w:eastAsia="Times New Roman" w:cstheme="minorHAnsi"/>
                <w:b/>
                <w:bCs/>
                <w:color w:val="000000"/>
                <w:sz w:val="16"/>
                <w:szCs w:val="16"/>
                <w:lang w:val="es-SV" w:eastAsia="es-SV"/>
              </w:rPr>
              <w:t>88</w:t>
            </w:r>
            <w:r w:rsidRPr="00B77699">
              <w:rPr>
                <w:rFonts w:eastAsia="Times New Roman" w:cstheme="minorHAnsi"/>
                <w:b/>
                <w:bCs/>
                <w:color w:val="000000"/>
                <w:sz w:val="16"/>
                <w:szCs w:val="16"/>
                <w:lang w:val="es-SV" w:eastAsia="es-SV"/>
              </w:rPr>
              <w:t xml:space="preserve"> </w:t>
            </w:r>
          </w:p>
        </w:tc>
        <w:tc>
          <w:tcPr>
            <w:tcW w:w="3969" w:type="dxa"/>
            <w:tcBorders>
              <w:top w:val="nil"/>
              <w:left w:val="nil"/>
              <w:bottom w:val="single" w:sz="4" w:space="0" w:color="auto"/>
              <w:right w:val="single" w:sz="4" w:space="0" w:color="auto"/>
            </w:tcBorders>
            <w:vAlign w:val="center"/>
          </w:tcPr>
          <w:p w:rsidR="00322CDC" w:rsidRPr="00B77699" w:rsidRDefault="00322CDC" w:rsidP="00A54E3D">
            <w:pPr>
              <w:spacing w:after="0" w:line="240" w:lineRule="auto"/>
              <w:rPr>
                <w:rFonts w:eastAsia="Times New Roman" w:cstheme="minorHAnsi"/>
                <w:b/>
                <w:bCs/>
                <w:color w:val="000000"/>
                <w:sz w:val="16"/>
                <w:szCs w:val="16"/>
                <w:lang w:val="es-SV" w:eastAsia="es-SV"/>
              </w:rPr>
            </w:pPr>
          </w:p>
        </w:tc>
      </w:tr>
    </w:tbl>
    <w:p w:rsidR="00322CDC" w:rsidRPr="00D14618" w:rsidRDefault="00322CDC" w:rsidP="00D14618">
      <w:pPr>
        <w:pStyle w:val="Prrafodelista"/>
        <w:spacing w:line="360" w:lineRule="auto"/>
        <w:ind w:left="1080"/>
        <w:jc w:val="both"/>
        <w:rPr>
          <w:rFonts w:ascii="Ubuntu" w:hAnsi="Ubuntu"/>
          <w:sz w:val="24"/>
          <w:szCs w:val="24"/>
          <w:lang w:val="es-MX"/>
        </w:rPr>
      </w:pPr>
    </w:p>
    <w:p w:rsidR="008B2827" w:rsidRDefault="008B2827" w:rsidP="0004249E">
      <w:pPr>
        <w:pStyle w:val="Prrafodelista"/>
        <w:spacing w:line="360" w:lineRule="auto"/>
        <w:ind w:left="1080"/>
        <w:jc w:val="both"/>
        <w:rPr>
          <w:rFonts w:ascii="Ubuntu" w:hAnsi="Ubuntu"/>
          <w:sz w:val="24"/>
          <w:szCs w:val="24"/>
          <w:lang w:val="es-SV"/>
        </w:rPr>
      </w:pPr>
      <w:r>
        <w:rPr>
          <w:rFonts w:ascii="Ubuntu" w:hAnsi="Ubuntu"/>
          <w:sz w:val="24"/>
          <w:szCs w:val="24"/>
          <w:lang w:val="es-MX"/>
        </w:rPr>
        <w:t xml:space="preserve">El </w:t>
      </w:r>
      <w:r w:rsidRPr="008B2827">
        <w:rPr>
          <w:rFonts w:ascii="Ubuntu" w:hAnsi="Ubuntu"/>
          <w:sz w:val="24"/>
          <w:szCs w:val="24"/>
          <w:lang w:val="es-SV"/>
        </w:rPr>
        <w:t xml:space="preserve">Art. 8 </w:t>
      </w:r>
      <w:r>
        <w:rPr>
          <w:rFonts w:ascii="Ubuntu" w:hAnsi="Ubuntu"/>
          <w:sz w:val="24"/>
          <w:szCs w:val="24"/>
          <w:lang w:val="es-SV"/>
        </w:rPr>
        <w:t xml:space="preserve">de la </w:t>
      </w:r>
      <w:r w:rsidRPr="00B813E3">
        <w:rPr>
          <w:rFonts w:ascii="Ubuntu" w:hAnsi="Ubuntu"/>
          <w:sz w:val="24"/>
          <w:szCs w:val="24"/>
          <w:lang w:val="es-SV"/>
        </w:rPr>
        <w:t>Ley de Creación del Fondo para el Desarrollo Económico y Social de los Municipios (Ley FODES)</w:t>
      </w:r>
      <w:r>
        <w:rPr>
          <w:rFonts w:ascii="Ubuntu" w:hAnsi="Ubuntu"/>
          <w:sz w:val="24"/>
          <w:szCs w:val="24"/>
          <w:lang w:val="es-SV"/>
        </w:rPr>
        <w:t>, establece: “</w:t>
      </w:r>
      <w:r w:rsidRPr="008B2827">
        <w:rPr>
          <w:rFonts w:ascii="Ubuntu" w:hAnsi="Ubuntu"/>
          <w:sz w:val="24"/>
          <w:szCs w:val="24"/>
          <w:lang w:val="es-SV"/>
        </w:rPr>
        <w:t>A partir de la fecha en que los municipios reciban los recursos asignados del Fondo Municipal,</w:t>
      </w:r>
      <w:r w:rsidRPr="008B2827">
        <w:rPr>
          <w:rFonts w:ascii="Ubuntu" w:hAnsi="Ubuntu"/>
          <w:b/>
          <w:bCs/>
          <w:sz w:val="24"/>
          <w:szCs w:val="24"/>
          <w:lang w:val="es-SV"/>
        </w:rPr>
        <w:t xml:space="preserve"> NO PODRÁN UTILIZAR MÁS DEL 25% DE ELLOS EN GASTOS DE FUNCIONAMIENTO</w:t>
      </w:r>
      <w:r w:rsidRPr="008B2827">
        <w:rPr>
          <w:rFonts w:ascii="Ubuntu" w:hAnsi="Ubuntu"/>
          <w:sz w:val="24"/>
          <w:szCs w:val="24"/>
          <w:lang w:val="es-SV"/>
        </w:rPr>
        <w:t xml:space="preserve">”. </w:t>
      </w:r>
    </w:p>
    <w:p w:rsidR="00AB3FF4" w:rsidRDefault="00AB3FF4" w:rsidP="0004249E">
      <w:pPr>
        <w:pStyle w:val="Prrafodelista"/>
        <w:spacing w:line="360" w:lineRule="auto"/>
        <w:ind w:left="1080"/>
        <w:jc w:val="both"/>
        <w:rPr>
          <w:rFonts w:ascii="Ubuntu" w:hAnsi="Ubuntu"/>
          <w:sz w:val="24"/>
          <w:szCs w:val="24"/>
          <w:lang w:val="es-SV"/>
        </w:rPr>
      </w:pPr>
    </w:p>
    <w:p w:rsidR="008B2827" w:rsidRDefault="008B2827" w:rsidP="0004249E">
      <w:pPr>
        <w:pStyle w:val="Prrafodelista"/>
        <w:spacing w:line="360" w:lineRule="auto"/>
        <w:ind w:left="1080"/>
        <w:jc w:val="both"/>
        <w:rPr>
          <w:rFonts w:ascii="Ubuntu" w:hAnsi="Ubuntu"/>
          <w:sz w:val="24"/>
          <w:szCs w:val="24"/>
          <w:lang w:val="es-SV"/>
        </w:rPr>
      </w:pPr>
      <w:r w:rsidRPr="008B2827">
        <w:rPr>
          <w:rFonts w:ascii="Ubuntu" w:hAnsi="Ubuntu"/>
          <w:sz w:val="24"/>
          <w:szCs w:val="24"/>
          <w:lang w:val="es-SV"/>
        </w:rPr>
        <w:t xml:space="preserve">La interpretación Autentica al art. 8 de la Ley de Creación del Fondo para el Desarrollo Económico y Social de los Municipios (Ley FODES), establece: “Art. 8. Deberá entenderse que también son gastos de funcionamiento todos aquellos en que incurre la Municipalidad como ente Titular del Municipio, para mejoras y mantenimiento en instalaciones propiedad municipal, tales como salarios, jornales, aguinaldos, viáticos, </w:t>
      </w:r>
      <w:r w:rsidRPr="008B2827">
        <w:rPr>
          <w:rFonts w:ascii="Ubuntu" w:hAnsi="Ubuntu"/>
          <w:b/>
          <w:bCs/>
          <w:sz w:val="24"/>
          <w:szCs w:val="24"/>
          <w:lang w:val="es-SV"/>
        </w:rPr>
        <w:t>transporte de funcionarios y empleados</w:t>
      </w:r>
      <w:r w:rsidRPr="008B2827">
        <w:rPr>
          <w:rFonts w:ascii="Ubuntu" w:hAnsi="Ubuntu"/>
          <w:sz w:val="24"/>
          <w:szCs w:val="24"/>
          <w:lang w:val="es-SV"/>
        </w:rPr>
        <w:t>, servicios de telecomunicaciones, de agua, energía eléctrica, repuestos y accesorios para los vehículos de uso para el transporte de funcionarios y empleados propiedad de las municipalidades.</w:t>
      </w:r>
    </w:p>
    <w:p w:rsidR="00AB3FF4" w:rsidRDefault="00AB3FF4" w:rsidP="0004249E">
      <w:pPr>
        <w:pStyle w:val="Prrafodelista"/>
        <w:spacing w:line="360" w:lineRule="auto"/>
        <w:ind w:left="1080"/>
        <w:jc w:val="both"/>
        <w:rPr>
          <w:rFonts w:ascii="Ubuntu" w:hAnsi="Ubuntu"/>
          <w:sz w:val="24"/>
          <w:szCs w:val="24"/>
          <w:lang w:val="es-SV"/>
        </w:rPr>
      </w:pPr>
    </w:p>
    <w:p w:rsidR="008B2827" w:rsidRPr="008B2827" w:rsidRDefault="008B2827" w:rsidP="0004249E">
      <w:pPr>
        <w:pStyle w:val="Prrafodelista"/>
        <w:spacing w:line="360" w:lineRule="auto"/>
        <w:ind w:left="1080"/>
        <w:jc w:val="both"/>
        <w:rPr>
          <w:rFonts w:ascii="Ubuntu" w:hAnsi="Ubuntu"/>
          <w:sz w:val="24"/>
          <w:szCs w:val="24"/>
          <w:lang w:val="es-SV"/>
        </w:rPr>
      </w:pPr>
      <w:r w:rsidRPr="008B2827">
        <w:rPr>
          <w:rFonts w:ascii="Ubuntu" w:hAnsi="Ubuntu"/>
          <w:sz w:val="24"/>
          <w:szCs w:val="24"/>
          <w:lang w:val="es-SV"/>
        </w:rPr>
        <w:t xml:space="preserve">El inciso segundo del Art. 10 del Reglamento de la Ley de Creación del Fondo para el Desarrollo Económico y Social de los Municipios, establece: “Art. Se entenderá por gastos de funcionamiento, todos aquellos en que </w:t>
      </w:r>
      <w:r w:rsidRPr="008B2827">
        <w:rPr>
          <w:rFonts w:ascii="Ubuntu" w:hAnsi="Ubuntu"/>
          <w:sz w:val="24"/>
          <w:szCs w:val="24"/>
          <w:lang w:val="es-SV"/>
        </w:rPr>
        <w:lastRenderedPageBreak/>
        <w:t xml:space="preserve">incurra la municipalidad como ente titular del municipio, para mejoras y mantenimiento en instalaciones propiedad municipal, tales como salarios, jornales, dietas, aguinaldos, viáticos, </w:t>
      </w:r>
      <w:r w:rsidRPr="008B2827">
        <w:rPr>
          <w:rFonts w:ascii="Ubuntu" w:hAnsi="Ubuntu"/>
          <w:b/>
          <w:bCs/>
          <w:sz w:val="24"/>
          <w:szCs w:val="24"/>
          <w:lang w:val="es-SV"/>
        </w:rPr>
        <w:t>transporte de funcionarios y empleados</w:t>
      </w:r>
      <w:r w:rsidRPr="008B2827">
        <w:rPr>
          <w:rFonts w:ascii="Ubuntu" w:hAnsi="Ubuntu"/>
          <w:sz w:val="24"/>
          <w:szCs w:val="24"/>
          <w:lang w:val="es-SV"/>
        </w:rPr>
        <w:t>, servicios de telecomunicaciones, de agua energía eléctrica, repuestos y accesorios para los vehículos de uso para el transporte de funcionarios y empleados, propiedad de las municipalidades ”.</w:t>
      </w:r>
    </w:p>
    <w:p w:rsidR="00AB3FF4" w:rsidRDefault="00AB3FF4" w:rsidP="0004249E">
      <w:pPr>
        <w:pStyle w:val="Prrafodelista"/>
        <w:spacing w:line="360" w:lineRule="auto"/>
        <w:ind w:left="1080"/>
        <w:jc w:val="both"/>
        <w:rPr>
          <w:rFonts w:ascii="Ubuntu" w:hAnsi="Ubuntu"/>
          <w:bCs/>
          <w:lang w:val="es-MX"/>
        </w:rPr>
      </w:pPr>
    </w:p>
    <w:p w:rsidR="008B2827" w:rsidRDefault="008B2827" w:rsidP="0004249E">
      <w:pPr>
        <w:pStyle w:val="Prrafodelista"/>
        <w:spacing w:line="360" w:lineRule="auto"/>
        <w:ind w:left="1080"/>
        <w:jc w:val="both"/>
        <w:rPr>
          <w:rFonts w:ascii="Ubuntu" w:hAnsi="Ubuntu"/>
          <w:sz w:val="24"/>
          <w:szCs w:val="24"/>
          <w:lang w:val="es-MX"/>
        </w:rPr>
      </w:pPr>
      <w:r>
        <w:rPr>
          <w:rFonts w:ascii="Ubuntu" w:hAnsi="Ubuntu"/>
          <w:bCs/>
          <w:lang w:val="es-MX"/>
        </w:rPr>
        <w:t>La causa de la deficiencia la generó el Tesorero Municipal al efectuar, totalmente</w:t>
      </w:r>
      <w:r w:rsidR="00450247">
        <w:rPr>
          <w:rFonts w:ascii="Ubuntu" w:hAnsi="Ubuntu"/>
          <w:bCs/>
          <w:lang w:val="es-MX"/>
        </w:rPr>
        <w:t xml:space="preserve">, </w:t>
      </w:r>
      <w:r>
        <w:rPr>
          <w:rFonts w:ascii="Ubuntu" w:hAnsi="Ubuntu"/>
          <w:bCs/>
          <w:lang w:val="es-MX"/>
        </w:rPr>
        <w:t>el pago</w:t>
      </w:r>
      <w:r w:rsidR="00450247">
        <w:rPr>
          <w:rFonts w:ascii="Ubuntu" w:hAnsi="Ubuntu"/>
          <w:bCs/>
          <w:lang w:val="es-MX"/>
        </w:rPr>
        <w:t xml:space="preserve"> </w:t>
      </w:r>
      <w:r w:rsidR="00473B76">
        <w:rPr>
          <w:rFonts w:ascii="Ubuntu" w:hAnsi="Ubuntu"/>
          <w:bCs/>
          <w:lang w:val="es-MX"/>
        </w:rPr>
        <w:t xml:space="preserve">por la cantidad de </w:t>
      </w:r>
      <w:r w:rsidR="00450247" w:rsidRPr="00D14618">
        <w:rPr>
          <w:rFonts w:ascii="Ubuntu" w:hAnsi="Ubuntu"/>
          <w:b/>
          <w:bCs/>
          <w:sz w:val="24"/>
          <w:szCs w:val="24"/>
          <w:lang w:val="es-MX"/>
        </w:rPr>
        <w:t>$ 1,048.88</w:t>
      </w:r>
      <w:r w:rsidR="00450247">
        <w:rPr>
          <w:rFonts w:ascii="Ubuntu" w:hAnsi="Ubuntu"/>
          <w:bCs/>
          <w:lang w:val="es-MX"/>
        </w:rPr>
        <w:t xml:space="preserve">, </w:t>
      </w:r>
      <w:r>
        <w:rPr>
          <w:rFonts w:ascii="Ubuntu" w:hAnsi="Ubuntu"/>
          <w:bCs/>
          <w:lang w:val="es-MX"/>
        </w:rPr>
        <w:t xml:space="preserve">por el suministro de combustible directamente de la </w:t>
      </w:r>
      <w:r w:rsidR="00450247" w:rsidRPr="00D14618">
        <w:rPr>
          <w:rFonts w:ascii="Ubuntu" w:hAnsi="Ubuntu"/>
          <w:sz w:val="24"/>
          <w:szCs w:val="24"/>
          <w:lang w:val="es-MX"/>
        </w:rPr>
        <w:t>cuenta N. 100-160-800380-0 FODES 25%</w:t>
      </w:r>
      <w:r w:rsidR="00AA0EEA">
        <w:rPr>
          <w:rFonts w:ascii="Ubuntu" w:hAnsi="Ubuntu"/>
          <w:sz w:val="24"/>
          <w:szCs w:val="24"/>
          <w:lang w:val="es-MX"/>
        </w:rPr>
        <w:t>.</w:t>
      </w:r>
    </w:p>
    <w:p w:rsidR="006D318D" w:rsidRDefault="006D318D" w:rsidP="0004249E">
      <w:pPr>
        <w:pStyle w:val="Prrafodelista"/>
        <w:spacing w:line="360" w:lineRule="auto"/>
        <w:ind w:left="1080"/>
        <w:jc w:val="both"/>
        <w:rPr>
          <w:rFonts w:ascii="Ubuntu" w:hAnsi="Ubuntu"/>
          <w:bCs/>
          <w:lang w:val="es-MX"/>
        </w:rPr>
      </w:pPr>
    </w:p>
    <w:p w:rsidR="006D318D" w:rsidRDefault="008B2827" w:rsidP="0004249E">
      <w:pPr>
        <w:pStyle w:val="Prrafodelista"/>
        <w:spacing w:line="360" w:lineRule="auto"/>
        <w:ind w:left="1080"/>
        <w:jc w:val="both"/>
        <w:rPr>
          <w:rFonts w:ascii="Ubuntu" w:hAnsi="Ubuntu"/>
          <w:sz w:val="24"/>
          <w:szCs w:val="24"/>
          <w:lang w:val="es-SV"/>
        </w:rPr>
      </w:pPr>
      <w:r>
        <w:rPr>
          <w:rFonts w:ascii="Ubuntu" w:hAnsi="Ubuntu"/>
          <w:bCs/>
          <w:lang w:val="es-MX"/>
        </w:rPr>
        <w:t xml:space="preserve">Lo anterior ocasionó que se incumpla lo establecido en </w:t>
      </w:r>
      <w:r w:rsidR="006D318D">
        <w:rPr>
          <w:rFonts w:ascii="Ubuntu" w:hAnsi="Ubuntu"/>
          <w:bCs/>
          <w:lang w:val="es-MX"/>
        </w:rPr>
        <w:t xml:space="preserve">la </w:t>
      </w:r>
      <w:r w:rsidR="006D318D" w:rsidRPr="008B2827">
        <w:rPr>
          <w:rFonts w:ascii="Ubuntu" w:hAnsi="Ubuntu"/>
          <w:sz w:val="24"/>
          <w:szCs w:val="24"/>
          <w:lang w:val="es-SV"/>
        </w:rPr>
        <w:t>Ley de Creación del Fondo para el Desarrollo Económico y Social de los Municipios (Ley FODES)</w:t>
      </w:r>
      <w:r w:rsidR="0067434D">
        <w:rPr>
          <w:rFonts w:ascii="Ubuntu" w:hAnsi="Ubuntu"/>
          <w:sz w:val="24"/>
          <w:szCs w:val="24"/>
          <w:lang w:val="es-SV"/>
        </w:rPr>
        <w:t xml:space="preserve"> referente al uso de monto correspondiente al 25%, provocando una disminución en la disponibilidad financiera debido a que se está costeando gastos de proyectos que tienen su propio presupuesto.</w:t>
      </w:r>
    </w:p>
    <w:p w:rsidR="008B2827" w:rsidRPr="008B2827" w:rsidRDefault="008B2827" w:rsidP="0004249E">
      <w:pPr>
        <w:pStyle w:val="Prrafodelista"/>
        <w:spacing w:line="360" w:lineRule="auto"/>
        <w:ind w:left="1080"/>
        <w:jc w:val="both"/>
        <w:rPr>
          <w:rFonts w:ascii="Ubuntu" w:hAnsi="Ubuntu"/>
          <w:sz w:val="24"/>
          <w:szCs w:val="24"/>
          <w:lang w:val="es-MX"/>
        </w:rPr>
      </w:pPr>
      <w:r>
        <w:rPr>
          <w:rFonts w:ascii="Ubuntu" w:hAnsi="Ubuntu"/>
          <w:bCs/>
          <w:lang w:val="es-MX"/>
        </w:rPr>
        <w:t xml:space="preserve"> </w:t>
      </w:r>
    </w:p>
    <w:p w:rsidR="004153EB" w:rsidRPr="0067434D" w:rsidRDefault="004153EB" w:rsidP="0004249E">
      <w:pPr>
        <w:pStyle w:val="Prrafodelista"/>
        <w:spacing w:line="360" w:lineRule="auto"/>
        <w:ind w:left="1080"/>
        <w:jc w:val="both"/>
        <w:rPr>
          <w:rFonts w:ascii="Ubuntu" w:hAnsi="Ubuntu"/>
          <w:b/>
          <w:bCs/>
          <w:sz w:val="24"/>
          <w:szCs w:val="24"/>
          <w:lang w:val="es-MX"/>
        </w:rPr>
      </w:pPr>
      <w:r w:rsidRPr="0067434D">
        <w:rPr>
          <w:rFonts w:ascii="Ubuntu" w:hAnsi="Ubuntu"/>
          <w:b/>
          <w:bCs/>
          <w:sz w:val="24"/>
          <w:szCs w:val="24"/>
          <w:lang w:val="es-MX"/>
        </w:rPr>
        <w:t>Comentarios de la administración</w:t>
      </w:r>
    </w:p>
    <w:p w:rsidR="0067434D" w:rsidRPr="0067434D" w:rsidRDefault="0067434D" w:rsidP="0004249E">
      <w:pPr>
        <w:pStyle w:val="Prrafodelista"/>
        <w:spacing w:line="360" w:lineRule="auto"/>
        <w:ind w:left="1080"/>
        <w:jc w:val="both"/>
        <w:rPr>
          <w:rFonts w:ascii="Ubuntu" w:hAnsi="Ubuntu"/>
          <w:sz w:val="32"/>
          <w:szCs w:val="32"/>
          <w:lang w:val="es-MX"/>
        </w:rPr>
      </w:pPr>
      <w:r>
        <w:rPr>
          <w:rFonts w:ascii="Ubuntu" w:hAnsi="Ubuntu"/>
          <w:sz w:val="24"/>
          <w:szCs w:val="24"/>
          <w:lang w:val="es-MX"/>
        </w:rPr>
        <w:t>En nota recibida el 7 de septiembre de 20</w:t>
      </w:r>
      <w:r w:rsidR="0092236F">
        <w:rPr>
          <w:rFonts w:ascii="Ubuntu" w:hAnsi="Ubuntu"/>
          <w:sz w:val="24"/>
          <w:szCs w:val="24"/>
          <w:lang w:val="es-MX"/>
        </w:rPr>
        <w:t>20</w:t>
      </w:r>
      <w:r>
        <w:rPr>
          <w:rFonts w:ascii="Ubuntu" w:hAnsi="Ubuntu"/>
          <w:sz w:val="24"/>
          <w:szCs w:val="24"/>
          <w:lang w:val="es-MX"/>
        </w:rPr>
        <w:t xml:space="preserve">, el Tesorero Municipal manifestó: </w:t>
      </w:r>
      <w:r w:rsidRPr="0067434D">
        <w:rPr>
          <w:rFonts w:ascii="Ubuntu" w:hAnsi="Ubuntu"/>
          <w:sz w:val="24"/>
          <w:szCs w:val="24"/>
          <w:lang w:val="es-MX"/>
        </w:rPr>
        <w:t>… “En este caso con especto al combustible, se hará la transferencia electrónica a través de la Banca en Línea en donde se detallará el combustible que corresponde a la de medio ambiente disposición Final de Desechos Sólidos cuando haya depósito de FODES”</w:t>
      </w:r>
    </w:p>
    <w:p w:rsidR="0067434D" w:rsidRDefault="0067434D" w:rsidP="0004249E">
      <w:pPr>
        <w:pStyle w:val="Prrafodelista"/>
        <w:spacing w:line="360" w:lineRule="auto"/>
        <w:ind w:left="1080"/>
        <w:jc w:val="both"/>
        <w:rPr>
          <w:rFonts w:ascii="Ubuntu" w:hAnsi="Ubuntu"/>
          <w:sz w:val="24"/>
          <w:szCs w:val="24"/>
          <w:lang w:val="es-MX"/>
        </w:rPr>
      </w:pPr>
    </w:p>
    <w:p w:rsidR="008C087B" w:rsidRDefault="004153EB" w:rsidP="0004249E">
      <w:pPr>
        <w:pStyle w:val="Prrafodelista"/>
        <w:spacing w:line="360" w:lineRule="auto"/>
        <w:ind w:left="1080"/>
        <w:jc w:val="both"/>
        <w:rPr>
          <w:rFonts w:ascii="Ubuntu" w:hAnsi="Ubuntu"/>
          <w:b/>
          <w:bCs/>
          <w:sz w:val="24"/>
          <w:szCs w:val="24"/>
          <w:lang w:val="es-MX"/>
        </w:rPr>
      </w:pPr>
      <w:r w:rsidRPr="0067434D">
        <w:rPr>
          <w:rFonts w:ascii="Ubuntu" w:hAnsi="Ubuntu"/>
          <w:b/>
          <w:bCs/>
          <w:sz w:val="24"/>
          <w:szCs w:val="24"/>
          <w:lang w:val="es-MX"/>
        </w:rPr>
        <w:t>Comentarios del auditor</w:t>
      </w:r>
    </w:p>
    <w:p w:rsidR="008C087B" w:rsidRDefault="008C087B" w:rsidP="0004249E">
      <w:pPr>
        <w:pStyle w:val="Prrafodelista"/>
        <w:spacing w:line="360" w:lineRule="auto"/>
        <w:ind w:left="1080"/>
        <w:jc w:val="both"/>
        <w:rPr>
          <w:rFonts w:ascii="Ubuntu" w:hAnsi="Ubuntu"/>
          <w:sz w:val="24"/>
          <w:szCs w:val="24"/>
          <w:lang w:val="es-SV"/>
        </w:rPr>
      </w:pPr>
      <w:r w:rsidRPr="008C087B">
        <w:rPr>
          <w:rFonts w:ascii="Ubuntu" w:hAnsi="Ubuntu"/>
          <w:lang w:val="es-MX"/>
        </w:rPr>
        <w:t xml:space="preserve">La deficiencia se mantiene debido a que el </w:t>
      </w:r>
      <w:r>
        <w:rPr>
          <w:rFonts w:ascii="Ubuntu" w:hAnsi="Ubuntu"/>
          <w:lang w:val="es-MX"/>
        </w:rPr>
        <w:t xml:space="preserve">FODES 25% debe ser usado para gastos de funcionamiento, entre estos: </w:t>
      </w:r>
      <w:r w:rsidRPr="008B2827">
        <w:rPr>
          <w:rFonts w:ascii="Ubuntu" w:hAnsi="Ubuntu"/>
          <w:sz w:val="24"/>
          <w:szCs w:val="24"/>
          <w:lang w:val="es-SV"/>
        </w:rPr>
        <w:t xml:space="preserve">salarios, jornales, dietas, aguinaldos, viáticos, </w:t>
      </w:r>
      <w:r w:rsidRPr="008B2827">
        <w:rPr>
          <w:rFonts w:ascii="Ubuntu" w:hAnsi="Ubuntu"/>
          <w:b/>
          <w:bCs/>
          <w:sz w:val="24"/>
          <w:szCs w:val="24"/>
          <w:lang w:val="es-SV"/>
        </w:rPr>
        <w:t>transporte de funcionarios y empleados</w:t>
      </w:r>
      <w:r w:rsidRPr="008B2827">
        <w:rPr>
          <w:rFonts w:ascii="Ubuntu" w:hAnsi="Ubuntu"/>
          <w:sz w:val="24"/>
          <w:szCs w:val="24"/>
          <w:lang w:val="es-SV"/>
        </w:rPr>
        <w:t>, servicios de telecomunicaciones, de agua energía eléctrica, repuestos y accesorios para los vehículos de uso para el transporte de funcionarios y empleados, propiedad de las municipalidades”.</w:t>
      </w:r>
      <w:r>
        <w:rPr>
          <w:rFonts w:ascii="Ubuntu" w:hAnsi="Ubuntu"/>
          <w:sz w:val="24"/>
          <w:szCs w:val="24"/>
          <w:lang w:val="es-SV"/>
        </w:rPr>
        <w:t xml:space="preserve">  Por lo que el gasto de combustible destinados a proyectos, debe ser cancelado de las cuentas </w:t>
      </w:r>
      <w:r w:rsidR="002474A7">
        <w:rPr>
          <w:rFonts w:ascii="Ubuntu" w:hAnsi="Ubuntu"/>
          <w:sz w:val="24"/>
          <w:szCs w:val="24"/>
          <w:lang w:val="es-SV"/>
        </w:rPr>
        <w:t xml:space="preserve">bancarias </w:t>
      </w:r>
      <w:r>
        <w:rPr>
          <w:rFonts w:ascii="Ubuntu" w:hAnsi="Ubuntu"/>
          <w:sz w:val="24"/>
          <w:szCs w:val="24"/>
          <w:lang w:val="es-SV"/>
        </w:rPr>
        <w:t xml:space="preserve">de </w:t>
      </w:r>
      <w:r>
        <w:rPr>
          <w:rFonts w:ascii="Ubuntu" w:hAnsi="Ubuntu"/>
          <w:sz w:val="24"/>
          <w:szCs w:val="24"/>
          <w:lang w:val="es-SV"/>
        </w:rPr>
        <w:lastRenderedPageBreak/>
        <w:t>dicho proyecto (Medio Ambiente y Disposición Final de Desechos S</w:t>
      </w:r>
      <w:r w:rsidR="00100EDE">
        <w:rPr>
          <w:rFonts w:ascii="Ubuntu" w:hAnsi="Ubuntu"/>
          <w:sz w:val="24"/>
          <w:szCs w:val="24"/>
          <w:lang w:val="es-SV"/>
        </w:rPr>
        <w:t>ó</w:t>
      </w:r>
      <w:r>
        <w:rPr>
          <w:rFonts w:ascii="Ubuntu" w:hAnsi="Ubuntu"/>
          <w:sz w:val="24"/>
          <w:szCs w:val="24"/>
          <w:lang w:val="es-SV"/>
        </w:rPr>
        <w:t>lidos,</w:t>
      </w:r>
      <w:r w:rsidR="00100EDE">
        <w:rPr>
          <w:rFonts w:ascii="Ubuntu" w:hAnsi="Ubuntu"/>
          <w:sz w:val="24"/>
          <w:szCs w:val="24"/>
          <w:lang w:val="es-SV"/>
        </w:rPr>
        <w:t xml:space="preserve"> Ambulancia Municipal, Mantenimiento de las Áreas Recreativas, Mantenimiento de los Servicios Municipales)</w:t>
      </w:r>
      <w:r>
        <w:rPr>
          <w:rFonts w:ascii="Ubuntu" w:hAnsi="Ubuntu"/>
          <w:sz w:val="24"/>
          <w:szCs w:val="24"/>
          <w:lang w:val="es-SV"/>
        </w:rPr>
        <w:t>.</w:t>
      </w:r>
    </w:p>
    <w:p w:rsidR="008C087B" w:rsidRDefault="008C087B" w:rsidP="0004249E">
      <w:pPr>
        <w:pStyle w:val="Prrafodelista"/>
        <w:spacing w:line="360" w:lineRule="auto"/>
        <w:ind w:left="1080"/>
        <w:jc w:val="both"/>
        <w:rPr>
          <w:rFonts w:ascii="Ubuntu" w:hAnsi="Ubuntu"/>
          <w:lang w:val="es-MX"/>
        </w:rPr>
      </w:pPr>
    </w:p>
    <w:p w:rsidR="004959EB" w:rsidRDefault="008C087B" w:rsidP="0004249E">
      <w:pPr>
        <w:pStyle w:val="Prrafodelista"/>
        <w:spacing w:line="360" w:lineRule="auto"/>
        <w:ind w:left="1080"/>
        <w:jc w:val="both"/>
        <w:rPr>
          <w:rFonts w:ascii="Ubuntu" w:hAnsi="Ubuntu"/>
          <w:sz w:val="24"/>
          <w:szCs w:val="24"/>
          <w:lang w:val="es-SV"/>
        </w:rPr>
      </w:pPr>
      <w:r>
        <w:rPr>
          <w:rFonts w:ascii="Ubuntu" w:hAnsi="Ubuntu"/>
          <w:lang w:val="es-MX"/>
        </w:rPr>
        <w:t xml:space="preserve"> </w:t>
      </w:r>
      <w:r w:rsidR="002003EB" w:rsidRPr="000A085F">
        <w:rPr>
          <w:rFonts w:ascii="Ubuntu" w:hAnsi="Ubuntu"/>
          <w:b/>
          <w:bCs/>
          <w:sz w:val="24"/>
          <w:szCs w:val="24"/>
          <w:lang w:val="es-MX"/>
        </w:rPr>
        <w:t xml:space="preserve">HALLAZGO </w:t>
      </w:r>
      <w:r w:rsidR="00CF3414">
        <w:rPr>
          <w:rFonts w:ascii="Ubuntu" w:hAnsi="Ubuntu"/>
          <w:b/>
          <w:bCs/>
          <w:sz w:val="24"/>
          <w:szCs w:val="24"/>
          <w:lang w:val="es-MX"/>
        </w:rPr>
        <w:t>2</w:t>
      </w:r>
      <w:r w:rsidR="002003EB" w:rsidRPr="00CF3414">
        <w:rPr>
          <w:rFonts w:ascii="Ubuntu" w:hAnsi="Ubuntu"/>
          <w:b/>
          <w:bCs/>
          <w:sz w:val="24"/>
          <w:szCs w:val="24"/>
          <w:lang w:val="es-MX"/>
        </w:rPr>
        <w:t xml:space="preserve">: </w:t>
      </w:r>
      <w:r w:rsidR="00CF3414" w:rsidRPr="00CF3414">
        <w:rPr>
          <w:rFonts w:ascii="Ubuntu" w:hAnsi="Ubuntu"/>
          <w:sz w:val="24"/>
          <w:szCs w:val="24"/>
          <w:lang w:val="es-SV"/>
        </w:rPr>
        <w:t>EL TESORERO MUNICIPAL NO HA RENDIDO FIANZA</w:t>
      </w:r>
    </w:p>
    <w:p w:rsidR="007439A2" w:rsidRDefault="004959EB" w:rsidP="0004249E">
      <w:pPr>
        <w:pStyle w:val="Prrafodelista"/>
        <w:spacing w:line="360" w:lineRule="auto"/>
        <w:ind w:left="1080"/>
        <w:jc w:val="both"/>
        <w:rPr>
          <w:rFonts w:ascii="Ubuntu" w:hAnsi="Ubuntu"/>
          <w:lang w:val="es-SV"/>
        </w:rPr>
      </w:pPr>
      <w:r>
        <w:rPr>
          <w:rFonts w:ascii="Ubuntu" w:hAnsi="Ubuntu"/>
          <w:sz w:val="24"/>
          <w:szCs w:val="24"/>
          <w:lang w:val="es-MX"/>
        </w:rPr>
        <w:t xml:space="preserve">Se determinó </w:t>
      </w:r>
      <w:r w:rsidR="007439A2">
        <w:rPr>
          <w:rFonts w:ascii="Ubuntu" w:hAnsi="Ubuntu"/>
          <w:sz w:val="24"/>
          <w:szCs w:val="24"/>
          <w:lang w:val="es-MX"/>
        </w:rPr>
        <w:t>que,</w:t>
      </w:r>
      <w:r>
        <w:rPr>
          <w:rFonts w:ascii="Ubuntu" w:hAnsi="Ubuntu"/>
          <w:sz w:val="24"/>
          <w:szCs w:val="24"/>
          <w:lang w:val="es-MX"/>
        </w:rPr>
        <w:t xml:space="preserve"> a la fecha de este informe,</w:t>
      </w:r>
      <w:r w:rsidRPr="004959EB">
        <w:rPr>
          <w:rFonts w:ascii="Ubuntu" w:hAnsi="Ubuntu"/>
          <w:lang w:val="es-SV"/>
        </w:rPr>
        <w:t xml:space="preserve"> el Tesorero Municipal no ha rendido </w:t>
      </w:r>
      <w:r w:rsidR="007439A2" w:rsidRPr="004959EB">
        <w:rPr>
          <w:rFonts w:ascii="Ubuntu" w:hAnsi="Ubuntu"/>
          <w:lang w:val="es-SV"/>
        </w:rPr>
        <w:t xml:space="preserve">fianza </w:t>
      </w:r>
      <w:r w:rsidR="007439A2">
        <w:rPr>
          <w:rFonts w:ascii="Ubuntu" w:hAnsi="Ubuntu"/>
          <w:lang w:val="es-SV"/>
        </w:rPr>
        <w:t>de acuerdo a los requerimientos Legales.</w:t>
      </w:r>
    </w:p>
    <w:p w:rsidR="002240E4" w:rsidRDefault="002240E4" w:rsidP="0004249E">
      <w:pPr>
        <w:pStyle w:val="Prrafodelista"/>
        <w:spacing w:line="360" w:lineRule="auto"/>
        <w:ind w:left="1080"/>
        <w:jc w:val="both"/>
        <w:rPr>
          <w:rFonts w:ascii="Ubuntu" w:hAnsi="Ubuntu"/>
          <w:lang w:val="es-SV"/>
        </w:rPr>
      </w:pPr>
    </w:p>
    <w:p w:rsidR="007439A2" w:rsidRDefault="007439A2" w:rsidP="0004249E">
      <w:pPr>
        <w:pStyle w:val="Prrafodelista"/>
        <w:spacing w:line="360" w:lineRule="auto"/>
        <w:ind w:left="1080"/>
        <w:jc w:val="both"/>
        <w:rPr>
          <w:rFonts w:ascii="Ubuntu" w:hAnsi="Ubuntu"/>
          <w:lang w:val="es-SV"/>
        </w:rPr>
      </w:pPr>
      <w:r w:rsidRPr="007439A2">
        <w:rPr>
          <w:rFonts w:ascii="Ubuntu" w:hAnsi="Ubuntu"/>
          <w:lang w:val="es-SV"/>
        </w:rPr>
        <w:t>Código Municipal</w:t>
      </w:r>
      <w:r>
        <w:rPr>
          <w:rFonts w:ascii="Ubuntu" w:hAnsi="Ubuntu"/>
          <w:lang w:val="es-SV"/>
        </w:rPr>
        <w:t xml:space="preserve"> en su art. 97 establece</w:t>
      </w:r>
      <w:r w:rsidRPr="007439A2">
        <w:rPr>
          <w:rFonts w:ascii="Ubuntu" w:hAnsi="Ubuntu"/>
          <w:lang w:val="es-SV"/>
        </w:rPr>
        <w:t>:</w:t>
      </w:r>
    </w:p>
    <w:p w:rsidR="007439A2" w:rsidRDefault="007439A2" w:rsidP="0004249E">
      <w:pPr>
        <w:pStyle w:val="Prrafodelista"/>
        <w:spacing w:line="360" w:lineRule="auto"/>
        <w:ind w:left="1080"/>
        <w:jc w:val="both"/>
        <w:rPr>
          <w:rFonts w:ascii="Ubuntu" w:hAnsi="Ubuntu"/>
          <w:lang w:val="es-SV"/>
        </w:rPr>
      </w:pPr>
      <w:r w:rsidRPr="007439A2">
        <w:rPr>
          <w:rFonts w:ascii="Ubuntu" w:hAnsi="Ubuntu"/>
          <w:lang w:val="es-SV"/>
        </w:rPr>
        <w:t xml:space="preserve"> “art. 97- el tesorero, funcionarios y empleados que tengan a su cargo la recaudación o custodia de fondos, deberán rendir fianza a satisfacción del concejo”. </w:t>
      </w:r>
    </w:p>
    <w:p w:rsidR="002240E4" w:rsidRDefault="002240E4" w:rsidP="0004249E">
      <w:pPr>
        <w:pStyle w:val="Prrafodelista"/>
        <w:spacing w:line="360" w:lineRule="auto"/>
        <w:ind w:left="1080"/>
        <w:jc w:val="both"/>
        <w:rPr>
          <w:rFonts w:ascii="Ubuntu" w:hAnsi="Ubuntu"/>
          <w:lang w:val="es-SV"/>
        </w:rPr>
      </w:pPr>
    </w:p>
    <w:p w:rsidR="007439A2" w:rsidRDefault="007439A2" w:rsidP="0004249E">
      <w:pPr>
        <w:pStyle w:val="Prrafodelista"/>
        <w:spacing w:line="360" w:lineRule="auto"/>
        <w:ind w:left="1080"/>
        <w:jc w:val="both"/>
        <w:rPr>
          <w:rFonts w:ascii="Ubuntu" w:hAnsi="Ubuntu"/>
          <w:lang w:val="es-SV"/>
        </w:rPr>
      </w:pPr>
      <w:r w:rsidRPr="007439A2">
        <w:rPr>
          <w:rFonts w:ascii="Ubuntu" w:hAnsi="Ubuntu"/>
          <w:lang w:val="es-SV"/>
        </w:rPr>
        <w:t>Ley de la Corte de Cuentas de la República:</w:t>
      </w:r>
    </w:p>
    <w:p w:rsidR="007439A2" w:rsidRDefault="007439A2" w:rsidP="0004249E">
      <w:pPr>
        <w:pStyle w:val="Prrafodelista"/>
        <w:spacing w:line="360" w:lineRule="auto"/>
        <w:ind w:left="1080"/>
        <w:jc w:val="both"/>
        <w:rPr>
          <w:rFonts w:ascii="Ubuntu" w:hAnsi="Ubuntu"/>
          <w:lang w:val="es-SV"/>
        </w:rPr>
      </w:pPr>
      <w:r w:rsidRPr="007439A2">
        <w:rPr>
          <w:rFonts w:ascii="Ubuntu" w:hAnsi="Ubuntu"/>
          <w:lang w:val="es-SV"/>
        </w:rPr>
        <w:t xml:space="preserve">“Art. 104.- Los funcionarios y empleados del sector público encargados de la recepción, control, custodia e inversión de fondos o valores públicos, o del manejo de bienes públicos, están obligados a rendir fianza a favor del Estado o de la entidad u organismo respectivo, de acuerdo con la Ley para responder por el fiel cumplimiento de sus funciones. </w:t>
      </w:r>
      <w:r w:rsidRPr="007439A2">
        <w:rPr>
          <w:rFonts w:ascii="Ubuntu" w:hAnsi="Ubuntu"/>
          <w:b/>
          <w:bCs/>
          <w:lang w:val="es-SV"/>
        </w:rPr>
        <w:t>No se dará posesión del cargo, a quien no hubiere dado cumplimiento a este requisito</w:t>
      </w:r>
      <w:r w:rsidRPr="007439A2">
        <w:rPr>
          <w:rFonts w:ascii="Ubuntu" w:hAnsi="Ubuntu"/>
          <w:lang w:val="es-SV"/>
        </w:rPr>
        <w:t>.”</w:t>
      </w:r>
    </w:p>
    <w:p w:rsidR="002240E4" w:rsidRDefault="002240E4" w:rsidP="0004249E">
      <w:pPr>
        <w:pStyle w:val="Prrafodelista"/>
        <w:spacing w:line="360" w:lineRule="auto"/>
        <w:ind w:left="1080"/>
        <w:jc w:val="both"/>
        <w:rPr>
          <w:rFonts w:ascii="Ubuntu" w:hAnsi="Ubuntu"/>
          <w:lang w:val="es-SV"/>
        </w:rPr>
      </w:pPr>
    </w:p>
    <w:p w:rsidR="007439A2" w:rsidRDefault="007439A2" w:rsidP="0004249E">
      <w:pPr>
        <w:pStyle w:val="Prrafodelista"/>
        <w:spacing w:line="360" w:lineRule="auto"/>
        <w:ind w:left="1080"/>
        <w:jc w:val="both"/>
        <w:rPr>
          <w:rFonts w:ascii="Ubuntu" w:hAnsi="Ubuntu"/>
          <w:lang w:val="es-SV"/>
        </w:rPr>
      </w:pPr>
      <w:r w:rsidRPr="00966D6C">
        <w:rPr>
          <w:rFonts w:ascii="Ubuntu" w:hAnsi="Ubuntu"/>
          <w:lang w:val="es-SV"/>
        </w:rPr>
        <w:t>Reglamento de la Ley Orgánica de la Administración Financiera del Estado:</w:t>
      </w:r>
    </w:p>
    <w:p w:rsidR="007439A2" w:rsidRDefault="007439A2" w:rsidP="0004249E">
      <w:pPr>
        <w:pStyle w:val="Prrafodelista"/>
        <w:spacing w:line="360" w:lineRule="auto"/>
        <w:ind w:left="1080"/>
        <w:jc w:val="both"/>
        <w:rPr>
          <w:rFonts w:ascii="Ubuntu" w:hAnsi="Ubuntu"/>
          <w:lang w:val="es-SV"/>
        </w:rPr>
      </w:pPr>
      <w:r w:rsidRPr="007439A2">
        <w:rPr>
          <w:rFonts w:ascii="Ubuntu" w:hAnsi="Ubuntu"/>
          <w:lang w:val="es-SV"/>
        </w:rPr>
        <w:t xml:space="preserve">“Del Rendimiento de Fianzas. </w:t>
      </w:r>
    </w:p>
    <w:p w:rsidR="007439A2" w:rsidRDefault="007439A2" w:rsidP="0004249E">
      <w:pPr>
        <w:pStyle w:val="Prrafodelista"/>
        <w:spacing w:line="360" w:lineRule="auto"/>
        <w:ind w:left="1080"/>
        <w:jc w:val="both"/>
        <w:rPr>
          <w:rFonts w:ascii="Ubuntu" w:hAnsi="Ubuntu"/>
          <w:lang w:val="es-SV"/>
        </w:rPr>
      </w:pPr>
      <w:r w:rsidRPr="007439A2">
        <w:rPr>
          <w:rFonts w:ascii="Ubuntu" w:hAnsi="Ubuntu"/>
          <w:lang w:val="es-SV"/>
        </w:rPr>
        <w:t>Art. 115.- Todo funcionario encargado del manejo de fondos públicos, antes de tomar posesión de su cargo, deberá rendir fianza a favor de la respectiva institución, en los montos y condiciones establecidas por las disposiciones legales. El pago de las fianzas estará a cargo de cada institución.”</w:t>
      </w:r>
    </w:p>
    <w:p w:rsidR="002240E4" w:rsidRDefault="002240E4" w:rsidP="0004249E">
      <w:pPr>
        <w:pStyle w:val="Prrafodelista"/>
        <w:spacing w:line="360" w:lineRule="auto"/>
        <w:ind w:left="1080"/>
        <w:jc w:val="both"/>
        <w:rPr>
          <w:rFonts w:ascii="Ubuntu" w:hAnsi="Ubuntu"/>
          <w:lang w:val="es-SV"/>
        </w:rPr>
      </w:pPr>
    </w:p>
    <w:p w:rsidR="007439A2" w:rsidRDefault="007439A2" w:rsidP="0004249E">
      <w:pPr>
        <w:pStyle w:val="Prrafodelista"/>
        <w:spacing w:line="360" w:lineRule="auto"/>
        <w:ind w:left="1080"/>
        <w:jc w:val="both"/>
        <w:rPr>
          <w:rFonts w:ascii="Ubuntu" w:hAnsi="Ubuntu"/>
          <w:lang w:val="es-SV"/>
        </w:rPr>
      </w:pPr>
      <w:r w:rsidRPr="007439A2">
        <w:rPr>
          <w:rFonts w:ascii="Ubuntu" w:hAnsi="Ubuntu"/>
          <w:lang w:val="es-SV"/>
        </w:rPr>
        <w:t>Manual de Procedimientos de Tesorería Municipal de la Alcaldía Municipal de Tepetitán</w:t>
      </w:r>
    </w:p>
    <w:p w:rsidR="007439A2" w:rsidRDefault="007439A2" w:rsidP="0004249E">
      <w:pPr>
        <w:pStyle w:val="Prrafodelista"/>
        <w:spacing w:line="360" w:lineRule="auto"/>
        <w:ind w:left="1080"/>
        <w:jc w:val="both"/>
        <w:rPr>
          <w:rFonts w:ascii="Ubuntu" w:hAnsi="Ubuntu"/>
          <w:lang w:val="es-SV"/>
        </w:rPr>
      </w:pPr>
      <w:r w:rsidRPr="007439A2">
        <w:rPr>
          <w:rFonts w:ascii="Ubuntu" w:hAnsi="Ubuntu"/>
          <w:lang w:val="es-SV"/>
        </w:rPr>
        <w:t>“4 OBLIGACION DE RENDIR FIANZA</w:t>
      </w:r>
    </w:p>
    <w:p w:rsidR="007439A2" w:rsidRDefault="007439A2" w:rsidP="0004249E">
      <w:pPr>
        <w:pStyle w:val="Prrafodelista"/>
        <w:spacing w:line="360" w:lineRule="auto"/>
        <w:ind w:left="1080"/>
        <w:jc w:val="both"/>
        <w:rPr>
          <w:rFonts w:ascii="Ubuntu" w:hAnsi="Ubuntu"/>
          <w:lang w:val="es-SV"/>
        </w:rPr>
      </w:pPr>
      <w:r w:rsidRPr="007439A2">
        <w:rPr>
          <w:rFonts w:ascii="Ubuntu" w:hAnsi="Ubuntu"/>
          <w:lang w:val="es-SV"/>
        </w:rPr>
        <w:t xml:space="preserve"> De acuerdo al Artículo 97 del Código Municipal y al 104 de la Ley de la Corte de Cuentas, todo funcionario o empleado del sector público encargado de la recepción, control, custodia e inversión de fondos o valores públicos o del manejo </w:t>
      </w:r>
      <w:r w:rsidRPr="007439A2">
        <w:rPr>
          <w:rFonts w:ascii="Ubuntu" w:hAnsi="Ubuntu"/>
          <w:lang w:val="es-SV"/>
        </w:rPr>
        <w:lastRenderedPageBreak/>
        <w:t>de bienes, están obligados a rendir fianza a favor del Estado o del organismo respectivo, para responder por el fiel cumplimiento de sus obligaciones. El Art. 115 del reglamento de la Ley Orgánica de Administración Financiera del Estado (AFI), hace énfasis sobre tal situación, y establece que el pago de dicha fianza estará a cargo de cada institución. La garantía deberá ser rendida a satisfacción del Concejo y podrá ser dada entre otras por las formas siguientes: a) A través de un banco, Compañía de Seguro o Afianzadora. b) Depósito en Efectivo c) Garantía Hipotecaria d) Garantía Prendaria e) Otra a satisfacción del Concejo”</w:t>
      </w:r>
      <w:r>
        <w:rPr>
          <w:rFonts w:ascii="Ubuntu" w:hAnsi="Ubuntu"/>
          <w:lang w:val="es-SV"/>
        </w:rPr>
        <w:t>.</w:t>
      </w:r>
    </w:p>
    <w:p w:rsidR="002240E4" w:rsidRDefault="002240E4" w:rsidP="0004249E">
      <w:pPr>
        <w:pStyle w:val="Prrafodelista"/>
        <w:spacing w:line="360" w:lineRule="auto"/>
        <w:ind w:left="1080"/>
        <w:jc w:val="both"/>
        <w:rPr>
          <w:rFonts w:ascii="Ubuntu" w:hAnsi="Ubuntu"/>
          <w:bCs/>
          <w:lang w:val="es-MX"/>
        </w:rPr>
      </w:pPr>
    </w:p>
    <w:p w:rsidR="006942EC" w:rsidRDefault="002240E4" w:rsidP="0004249E">
      <w:pPr>
        <w:pStyle w:val="Prrafodelista"/>
        <w:spacing w:line="360" w:lineRule="auto"/>
        <w:ind w:left="1080"/>
        <w:jc w:val="both"/>
        <w:rPr>
          <w:rFonts w:ascii="Ubuntu" w:hAnsi="Ubuntu"/>
          <w:bCs/>
          <w:lang w:val="es-MX"/>
        </w:rPr>
      </w:pPr>
      <w:r>
        <w:rPr>
          <w:rFonts w:ascii="Ubuntu" w:hAnsi="Ubuntu"/>
          <w:bCs/>
          <w:lang w:val="es-MX"/>
        </w:rPr>
        <w:t xml:space="preserve">La causa de la deficiencia la generó el Consejo Municipal por haber dado posesión del Cargo </w:t>
      </w:r>
      <w:r w:rsidR="006942EC">
        <w:rPr>
          <w:rFonts w:ascii="Ubuntu" w:hAnsi="Ubuntu"/>
          <w:bCs/>
          <w:lang w:val="es-MX"/>
        </w:rPr>
        <w:t>a</w:t>
      </w:r>
      <w:r>
        <w:rPr>
          <w:rFonts w:ascii="Ubuntu" w:hAnsi="Ubuntu"/>
          <w:bCs/>
          <w:lang w:val="es-MX"/>
        </w:rPr>
        <w:t xml:space="preserve">l Tesorero Municipal </w:t>
      </w:r>
      <w:r w:rsidR="006942EC">
        <w:rPr>
          <w:rFonts w:ascii="Ubuntu" w:hAnsi="Ubuntu"/>
          <w:bCs/>
          <w:lang w:val="es-MX"/>
        </w:rPr>
        <w:t>sin que este haya rendido la respectiva fianza.</w:t>
      </w:r>
    </w:p>
    <w:p w:rsidR="002240E4" w:rsidRDefault="002240E4" w:rsidP="0004249E">
      <w:pPr>
        <w:pStyle w:val="Prrafodelista"/>
        <w:spacing w:line="360" w:lineRule="auto"/>
        <w:ind w:left="1080"/>
        <w:jc w:val="both"/>
        <w:rPr>
          <w:rFonts w:ascii="Ubuntu" w:hAnsi="Ubuntu"/>
          <w:lang w:val="es-SV"/>
        </w:rPr>
      </w:pPr>
    </w:p>
    <w:p w:rsidR="007439A2" w:rsidRDefault="007439A2" w:rsidP="0004249E">
      <w:pPr>
        <w:pStyle w:val="Prrafodelista"/>
        <w:spacing w:line="360" w:lineRule="auto"/>
        <w:ind w:left="1080"/>
        <w:jc w:val="both"/>
        <w:rPr>
          <w:rFonts w:ascii="Ubuntu" w:hAnsi="Ubuntu"/>
          <w:lang w:val="es-SV"/>
        </w:rPr>
      </w:pPr>
      <w:r w:rsidRPr="007439A2">
        <w:rPr>
          <w:rFonts w:ascii="Ubuntu" w:hAnsi="Ubuntu"/>
          <w:lang w:val="es-SV"/>
        </w:rPr>
        <w:t>Al no presentar el documento que ampara la fianza requerida por el Consejo Municipal, se incumple con lo dispuesto en el art. 97 del Código Municipal, el art. 10 de la Ley de la Corte de Cuentas de la República de El Salvador, el art. 115 del Reglamento de la Ley Orgánica de la Administración Financiera del Estado y el numeral 4 del Manual de Procedimientos de Tesorería Municipal de la Alcaldía Municipal de Tepetitán</w:t>
      </w:r>
      <w:r w:rsidR="006942EC">
        <w:rPr>
          <w:rFonts w:ascii="Ubuntu" w:hAnsi="Ubuntu"/>
          <w:lang w:val="es-SV"/>
        </w:rPr>
        <w:t xml:space="preserve">. </w:t>
      </w:r>
    </w:p>
    <w:p w:rsidR="0092236F" w:rsidRDefault="0092236F" w:rsidP="0004249E">
      <w:pPr>
        <w:pStyle w:val="Prrafodelista"/>
        <w:spacing w:line="360" w:lineRule="auto"/>
        <w:ind w:left="1080"/>
        <w:jc w:val="both"/>
        <w:rPr>
          <w:rFonts w:ascii="Ubuntu" w:hAnsi="Ubuntu"/>
          <w:lang w:val="es-SV"/>
        </w:rPr>
      </w:pPr>
    </w:p>
    <w:p w:rsidR="0092236F" w:rsidRDefault="0092236F" w:rsidP="0004249E">
      <w:pPr>
        <w:pStyle w:val="Prrafodelista"/>
        <w:spacing w:line="360" w:lineRule="auto"/>
        <w:ind w:left="1080"/>
        <w:jc w:val="both"/>
        <w:rPr>
          <w:rFonts w:ascii="Ubuntu" w:hAnsi="Ubuntu"/>
          <w:b/>
          <w:bCs/>
          <w:sz w:val="24"/>
          <w:szCs w:val="24"/>
          <w:lang w:val="es-MX"/>
        </w:rPr>
      </w:pPr>
      <w:r w:rsidRPr="0067434D">
        <w:rPr>
          <w:rFonts w:ascii="Ubuntu" w:hAnsi="Ubuntu"/>
          <w:b/>
          <w:bCs/>
          <w:sz w:val="24"/>
          <w:szCs w:val="24"/>
          <w:lang w:val="es-MX"/>
        </w:rPr>
        <w:t>Comentarios de la administración</w:t>
      </w:r>
    </w:p>
    <w:p w:rsidR="0092236F" w:rsidRPr="0092236F" w:rsidRDefault="0092236F" w:rsidP="0004249E">
      <w:pPr>
        <w:pStyle w:val="Prrafodelista"/>
        <w:spacing w:line="360" w:lineRule="auto"/>
        <w:ind w:left="1080"/>
        <w:jc w:val="both"/>
        <w:rPr>
          <w:rFonts w:ascii="Ubuntu" w:hAnsi="Ubuntu"/>
          <w:sz w:val="24"/>
          <w:szCs w:val="24"/>
          <w:lang w:val="es-MX"/>
        </w:rPr>
      </w:pPr>
      <w:r>
        <w:rPr>
          <w:rFonts w:ascii="Ubuntu" w:hAnsi="Ubuntu"/>
          <w:sz w:val="24"/>
          <w:szCs w:val="24"/>
          <w:lang w:val="es-MX"/>
        </w:rPr>
        <w:t xml:space="preserve">En nota recibida el 7 de septiembre de 2020, el Tesorero Municipal manifestó: </w:t>
      </w:r>
      <w:r w:rsidRPr="0067434D">
        <w:rPr>
          <w:rFonts w:ascii="Ubuntu" w:hAnsi="Ubuntu"/>
          <w:sz w:val="24"/>
          <w:szCs w:val="24"/>
          <w:lang w:val="es-MX"/>
        </w:rPr>
        <w:t>…</w:t>
      </w:r>
      <w:r>
        <w:rPr>
          <w:rFonts w:ascii="Ubuntu" w:hAnsi="Ubuntu"/>
          <w:sz w:val="24"/>
          <w:szCs w:val="24"/>
          <w:lang w:val="es-MX"/>
        </w:rPr>
        <w:t xml:space="preserve">”se está trabajando en el proceso de adquirir una </w:t>
      </w:r>
      <w:r w:rsidR="00862E00">
        <w:rPr>
          <w:rFonts w:ascii="Ubuntu" w:hAnsi="Ubuntu"/>
          <w:sz w:val="24"/>
          <w:szCs w:val="24"/>
          <w:lang w:val="es-MX"/>
        </w:rPr>
        <w:t>fianza,</w:t>
      </w:r>
      <w:r>
        <w:rPr>
          <w:rFonts w:ascii="Ubuntu" w:hAnsi="Ubuntu"/>
          <w:sz w:val="24"/>
          <w:szCs w:val="24"/>
          <w:lang w:val="es-MX"/>
        </w:rPr>
        <w:t xml:space="preserve"> así como lo establece la norma jurídica”.</w:t>
      </w:r>
    </w:p>
    <w:p w:rsidR="00862E00" w:rsidRPr="00862E00" w:rsidRDefault="00862E00" w:rsidP="0004249E">
      <w:pPr>
        <w:pStyle w:val="Prrafodelista"/>
        <w:spacing w:line="360" w:lineRule="auto"/>
        <w:ind w:left="1080"/>
        <w:jc w:val="both"/>
        <w:rPr>
          <w:rFonts w:ascii="Ubuntu" w:hAnsi="Ubuntu"/>
          <w:sz w:val="24"/>
          <w:szCs w:val="24"/>
          <w:lang w:val="es-MX"/>
        </w:rPr>
      </w:pPr>
    </w:p>
    <w:p w:rsidR="00862E00" w:rsidRDefault="00862E00" w:rsidP="0004249E">
      <w:pPr>
        <w:pStyle w:val="Prrafodelista"/>
        <w:spacing w:line="360" w:lineRule="auto"/>
        <w:ind w:left="1080"/>
        <w:jc w:val="both"/>
        <w:rPr>
          <w:rFonts w:ascii="Ubuntu" w:hAnsi="Ubuntu"/>
          <w:b/>
          <w:bCs/>
          <w:sz w:val="24"/>
          <w:szCs w:val="24"/>
          <w:lang w:val="es-MX"/>
        </w:rPr>
      </w:pPr>
      <w:r w:rsidRPr="0067434D">
        <w:rPr>
          <w:rFonts w:ascii="Ubuntu" w:hAnsi="Ubuntu"/>
          <w:b/>
          <w:bCs/>
          <w:sz w:val="24"/>
          <w:szCs w:val="24"/>
          <w:lang w:val="es-MX"/>
        </w:rPr>
        <w:t xml:space="preserve">Comentarios del </w:t>
      </w:r>
      <w:r w:rsidRPr="00862E00">
        <w:rPr>
          <w:rFonts w:ascii="Ubuntu" w:hAnsi="Ubuntu"/>
          <w:b/>
          <w:bCs/>
          <w:sz w:val="24"/>
          <w:szCs w:val="24"/>
          <w:lang w:val="es-MX"/>
        </w:rPr>
        <w:t>auditor</w:t>
      </w:r>
      <w:r>
        <w:rPr>
          <w:rFonts w:ascii="Ubuntu" w:hAnsi="Ubuntu"/>
          <w:b/>
          <w:bCs/>
          <w:sz w:val="24"/>
          <w:szCs w:val="24"/>
          <w:lang w:val="es-MX"/>
        </w:rPr>
        <w:t xml:space="preserve"> </w:t>
      </w:r>
    </w:p>
    <w:p w:rsidR="0092236F" w:rsidRPr="00862E00" w:rsidRDefault="00862E00" w:rsidP="0004249E">
      <w:pPr>
        <w:pStyle w:val="Prrafodelista"/>
        <w:spacing w:line="360" w:lineRule="auto"/>
        <w:ind w:left="1080"/>
        <w:jc w:val="both"/>
        <w:rPr>
          <w:rFonts w:ascii="Ubuntu" w:hAnsi="Ubuntu"/>
          <w:b/>
          <w:bCs/>
          <w:sz w:val="24"/>
          <w:szCs w:val="24"/>
          <w:lang w:val="es-MX"/>
        </w:rPr>
      </w:pPr>
      <w:r w:rsidRPr="00862E00">
        <w:rPr>
          <w:rFonts w:ascii="Ubuntu" w:hAnsi="Ubuntu"/>
          <w:lang w:val="es-MX"/>
        </w:rPr>
        <w:t xml:space="preserve">La deficiencia se mantiene debido a que </w:t>
      </w:r>
      <w:r w:rsidR="00432B16">
        <w:rPr>
          <w:rFonts w:ascii="Ubuntu" w:hAnsi="Ubuntu"/>
          <w:lang w:val="es-MX"/>
        </w:rPr>
        <w:t>existe el incumplimiento de las leyes que regulan el funcionamiento de la municipalidad y por existir el incumplimiento a la normativa interna que es parte del Sistema de Control Interno de la Municipalidad.</w:t>
      </w:r>
    </w:p>
    <w:p w:rsidR="00862E00" w:rsidRDefault="00862E00" w:rsidP="0004249E">
      <w:pPr>
        <w:pStyle w:val="Prrafodelista"/>
        <w:spacing w:line="360" w:lineRule="auto"/>
        <w:ind w:left="1080"/>
        <w:jc w:val="both"/>
        <w:rPr>
          <w:rFonts w:ascii="Ubuntu" w:hAnsi="Ubuntu"/>
          <w:lang w:val="es-SV"/>
        </w:rPr>
      </w:pPr>
    </w:p>
    <w:p w:rsidR="007439A2" w:rsidRPr="007439A2" w:rsidRDefault="007439A2" w:rsidP="0004249E">
      <w:pPr>
        <w:pStyle w:val="Prrafodelista"/>
        <w:spacing w:line="360" w:lineRule="auto"/>
        <w:ind w:left="1080"/>
        <w:jc w:val="both"/>
        <w:rPr>
          <w:rFonts w:ascii="Ubuntu" w:hAnsi="Ubuntu"/>
          <w:lang w:val="es-SV"/>
        </w:rPr>
      </w:pPr>
    </w:p>
    <w:p w:rsidR="004153EB" w:rsidRDefault="004153EB" w:rsidP="0004249E">
      <w:pPr>
        <w:pStyle w:val="Prrafodelista"/>
        <w:spacing w:line="360" w:lineRule="auto"/>
        <w:ind w:left="1080"/>
        <w:jc w:val="both"/>
        <w:rPr>
          <w:rFonts w:ascii="Ubuntu" w:hAnsi="Ubuntu"/>
          <w:sz w:val="24"/>
          <w:szCs w:val="24"/>
          <w:lang w:val="es-MX"/>
        </w:rPr>
      </w:pPr>
    </w:p>
    <w:p w:rsidR="00E712AC" w:rsidRPr="001266AE" w:rsidRDefault="00E712AC" w:rsidP="0004249E">
      <w:pPr>
        <w:pStyle w:val="Ttulo1"/>
        <w:numPr>
          <w:ilvl w:val="0"/>
          <w:numId w:val="1"/>
        </w:numPr>
        <w:spacing w:line="360" w:lineRule="auto"/>
        <w:rPr>
          <w:rFonts w:ascii="Ubuntu" w:hAnsi="Ubuntu"/>
          <w:b/>
          <w:bCs/>
          <w:color w:val="auto"/>
          <w:sz w:val="24"/>
          <w:szCs w:val="24"/>
          <w:lang w:val="es-MX"/>
        </w:rPr>
      </w:pPr>
      <w:bookmarkStart w:id="5" w:name="_Toc50727008"/>
      <w:r w:rsidRPr="001266AE">
        <w:rPr>
          <w:rFonts w:ascii="Ubuntu" w:hAnsi="Ubuntu"/>
          <w:b/>
          <w:bCs/>
          <w:color w:val="auto"/>
          <w:sz w:val="24"/>
          <w:szCs w:val="24"/>
          <w:lang w:val="es-MX"/>
        </w:rPr>
        <w:lastRenderedPageBreak/>
        <w:t>Seguimiento a las recomendaciones de auditorías Anteriores.</w:t>
      </w:r>
      <w:bookmarkEnd w:id="5"/>
    </w:p>
    <w:p w:rsidR="00E577A3" w:rsidRDefault="00E577A3" w:rsidP="0004249E">
      <w:pPr>
        <w:pStyle w:val="Prrafodelista"/>
        <w:spacing w:line="360" w:lineRule="auto"/>
        <w:ind w:left="1080"/>
        <w:jc w:val="both"/>
        <w:rPr>
          <w:rFonts w:ascii="Ubuntu" w:hAnsi="Ubuntu"/>
          <w:sz w:val="24"/>
          <w:szCs w:val="24"/>
          <w:lang w:val="es-MX"/>
        </w:rPr>
      </w:pPr>
      <w:r>
        <w:rPr>
          <w:rFonts w:ascii="Ubuntu" w:hAnsi="Ubuntu"/>
          <w:sz w:val="24"/>
          <w:szCs w:val="24"/>
          <w:lang w:val="es-MX"/>
        </w:rPr>
        <w:t>No se realizó seguimiento a recomendaciones emitidas por firmas privadas de auditoría debido a que la Municipalidad de Tepetitán no ha contratado dichos servicios</w:t>
      </w:r>
      <w:r w:rsidR="002943B4">
        <w:rPr>
          <w:rFonts w:ascii="Ubuntu" w:hAnsi="Ubuntu"/>
          <w:sz w:val="24"/>
          <w:szCs w:val="24"/>
          <w:lang w:val="es-MX"/>
        </w:rPr>
        <w:t xml:space="preserve"> </w:t>
      </w:r>
      <w:r w:rsidR="00DB6981">
        <w:rPr>
          <w:rFonts w:ascii="Ubuntu" w:hAnsi="Ubuntu"/>
          <w:sz w:val="24"/>
          <w:szCs w:val="24"/>
          <w:lang w:val="es-MX"/>
        </w:rPr>
        <w:t>y los</w:t>
      </w:r>
      <w:r w:rsidR="002943B4">
        <w:rPr>
          <w:rFonts w:ascii="Ubuntu" w:hAnsi="Ubuntu"/>
          <w:sz w:val="24"/>
          <w:szCs w:val="24"/>
          <w:lang w:val="es-MX"/>
        </w:rPr>
        <w:t xml:space="preserve"> informes de auditoría practicados por la Corte de Cuentas de la República, no co</w:t>
      </w:r>
      <w:r w:rsidR="00A6454F">
        <w:rPr>
          <w:rFonts w:ascii="Ubuntu" w:hAnsi="Ubuntu"/>
          <w:sz w:val="24"/>
          <w:szCs w:val="24"/>
          <w:lang w:val="es-MX"/>
        </w:rPr>
        <w:t>ntienen recomendaciones</w:t>
      </w:r>
      <w:r w:rsidR="00DB6981">
        <w:rPr>
          <w:rFonts w:ascii="Ubuntu" w:hAnsi="Ubuntu"/>
          <w:sz w:val="24"/>
          <w:szCs w:val="24"/>
          <w:lang w:val="es-MX"/>
        </w:rPr>
        <w:t>.</w:t>
      </w:r>
    </w:p>
    <w:p w:rsidR="00E712AC" w:rsidRPr="001266AE" w:rsidRDefault="00E712AC" w:rsidP="0004249E">
      <w:pPr>
        <w:pStyle w:val="Ttulo1"/>
        <w:numPr>
          <w:ilvl w:val="0"/>
          <w:numId w:val="1"/>
        </w:numPr>
        <w:spacing w:line="360" w:lineRule="auto"/>
        <w:rPr>
          <w:rFonts w:ascii="Ubuntu" w:hAnsi="Ubuntu"/>
          <w:b/>
          <w:bCs/>
          <w:color w:val="auto"/>
          <w:sz w:val="24"/>
          <w:szCs w:val="24"/>
          <w:lang w:val="es-MX"/>
        </w:rPr>
      </w:pPr>
      <w:bookmarkStart w:id="6" w:name="_Toc50727009"/>
      <w:r w:rsidRPr="001266AE">
        <w:rPr>
          <w:rFonts w:ascii="Ubuntu" w:hAnsi="Ubuntu"/>
          <w:b/>
          <w:bCs/>
          <w:color w:val="auto"/>
          <w:sz w:val="24"/>
          <w:szCs w:val="24"/>
          <w:lang w:val="es-MX"/>
        </w:rPr>
        <w:t>Recomendaciones de Auditoría</w:t>
      </w:r>
      <w:bookmarkEnd w:id="6"/>
    </w:p>
    <w:p w:rsidR="00774C21" w:rsidRDefault="00774C21" w:rsidP="0004249E">
      <w:pPr>
        <w:pStyle w:val="Prrafodelista"/>
        <w:spacing w:line="360" w:lineRule="auto"/>
        <w:ind w:left="1080"/>
        <w:jc w:val="both"/>
        <w:rPr>
          <w:rFonts w:ascii="Ubuntu" w:hAnsi="Ubuntu"/>
          <w:sz w:val="24"/>
          <w:szCs w:val="24"/>
          <w:lang w:val="es-MX"/>
        </w:rPr>
      </w:pPr>
      <w:r>
        <w:rPr>
          <w:rFonts w:ascii="Ubuntu" w:hAnsi="Ubuntu"/>
          <w:sz w:val="24"/>
          <w:szCs w:val="24"/>
          <w:lang w:val="es-MX"/>
        </w:rPr>
        <w:t>Se recomienda:</w:t>
      </w:r>
    </w:p>
    <w:p w:rsidR="00DB6981" w:rsidRDefault="00FB785E" w:rsidP="0004249E">
      <w:pPr>
        <w:pStyle w:val="Prrafodelista"/>
        <w:spacing w:line="360" w:lineRule="auto"/>
        <w:ind w:left="1080"/>
        <w:jc w:val="both"/>
        <w:rPr>
          <w:rFonts w:ascii="Ubuntu" w:hAnsi="Ubuntu"/>
          <w:sz w:val="24"/>
          <w:szCs w:val="24"/>
          <w:lang w:val="es-MX"/>
        </w:rPr>
      </w:pPr>
      <w:r>
        <w:rPr>
          <w:rFonts w:ascii="Ubuntu" w:hAnsi="Ubuntu"/>
          <w:sz w:val="24"/>
          <w:szCs w:val="24"/>
          <w:lang w:val="es-MX"/>
        </w:rPr>
        <w:t xml:space="preserve">Superar el Hallazgo de Auditoría No. 1: Gastos no facultados para uso del FODES 75%” y el Hallazgo de Auditoría No. 3: </w:t>
      </w:r>
      <w:r w:rsidR="00BE4D63">
        <w:rPr>
          <w:rFonts w:ascii="Ubuntu" w:hAnsi="Ubuntu"/>
          <w:sz w:val="24"/>
          <w:szCs w:val="24"/>
          <w:lang w:val="es-MX"/>
        </w:rPr>
        <w:t xml:space="preserve">Ingresos municipales no depositados en el Banco, ambos contenidos en el </w:t>
      </w:r>
      <w:r w:rsidR="000B72AF">
        <w:rPr>
          <w:rFonts w:ascii="Ubuntu" w:hAnsi="Ubuntu"/>
          <w:sz w:val="24"/>
          <w:szCs w:val="24"/>
          <w:lang w:val="es-MX"/>
        </w:rPr>
        <w:t>i</w:t>
      </w:r>
      <w:r w:rsidR="00BE4D63">
        <w:rPr>
          <w:rFonts w:ascii="Ubuntu" w:hAnsi="Ubuntu"/>
          <w:sz w:val="24"/>
          <w:szCs w:val="24"/>
          <w:lang w:val="es-MX"/>
        </w:rPr>
        <w:t>nforme</w:t>
      </w:r>
      <w:r w:rsidR="000B72AF">
        <w:rPr>
          <w:rFonts w:ascii="Ubuntu" w:hAnsi="Ubuntu"/>
          <w:sz w:val="24"/>
          <w:szCs w:val="24"/>
          <w:lang w:val="es-MX"/>
        </w:rPr>
        <w:t xml:space="preserve"> de auditoría de la Corte de Cuentas de la República</w:t>
      </w:r>
      <w:r w:rsidR="00BE4D63">
        <w:rPr>
          <w:rFonts w:ascii="Ubuntu" w:hAnsi="Ubuntu"/>
          <w:sz w:val="24"/>
          <w:szCs w:val="24"/>
          <w:lang w:val="es-MX"/>
        </w:rPr>
        <w:t xml:space="preserve"> </w:t>
      </w:r>
      <w:r w:rsidR="000B72AF">
        <w:rPr>
          <w:rFonts w:ascii="Ubuntu" w:hAnsi="Ubuntu"/>
          <w:sz w:val="24"/>
          <w:szCs w:val="24"/>
          <w:lang w:val="es-MX"/>
        </w:rPr>
        <w:t>donde se practicó el</w:t>
      </w:r>
      <w:r w:rsidR="00BE4D63">
        <w:rPr>
          <w:rFonts w:ascii="Ubuntu" w:hAnsi="Ubuntu"/>
          <w:sz w:val="24"/>
          <w:szCs w:val="24"/>
          <w:lang w:val="es-MX"/>
        </w:rPr>
        <w:t xml:space="preserve"> Examen Especial a los Ingresos, Egresos y al Cumplimiento de Leyes y Normativa Aplicable a la Municipalidad de Tepetitán, Departamento de San Vicente, por el Período del 01 de enero de 2014 al 30 de abril de 2015.</w:t>
      </w:r>
    </w:p>
    <w:p w:rsidR="00BE4D63" w:rsidRDefault="00BE4D63" w:rsidP="0004249E">
      <w:pPr>
        <w:pStyle w:val="Prrafodelista"/>
        <w:spacing w:line="360" w:lineRule="auto"/>
        <w:ind w:left="1080"/>
        <w:jc w:val="both"/>
        <w:rPr>
          <w:rFonts w:ascii="Ubuntu" w:hAnsi="Ubuntu"/>
          <w:sz w:val="24"/>
          <w:szCs w:val="24"/>
          <w:lang w:val="es-MX"/>
        </w:rPr>
      </w:pPr>
    </w:p>
    <w:p w:rsidR="000B72AF" w:rsidRDefault="000B72AF" w:rsidP="0004249E">
      <w:pPr>
        <w:pStyle w:val="Prrafodelista"/>
        <w:spacing w:line="360" w:lineRule="auto"/>
        <w:ind w:left="1080"/>
        <w:jc w:val="both"/>
        <w:rPr>
          <w:rFonts w:ascii="Ubuntu" w:hAnsi="Ubuntu"/>
          <w:sz w:val="24"/>
          <w:szCs w:val="24"/>
          <w:lang w:val="es-MX"/>
        </w:rPr>
      </w:pPr>
      <w:r>
        <w:rPr>
          <w:rFonts w:ascii="Ubuntu" w:hAnsi="Ubuntu"/>
          <w:sz w:val="24"/>
          <w:szCs w:val="24"/>
          <w:lang w:val="es-MX"/>
        </w:rPr>
        <w:t>Superar el Hallazgo de Auditoría No. 1: Ingresos no remesados íntegramente, contenido en el Informe de la Corte de Cuentas de la República donde se practicó el Examen Especial a los Ingresos, Egresos y al Cumplimiento de Leyes y Normativa Aplicable a la Municipalidad de Tepetitán, Departamento de San Vicente, por el Período del 01 de mayo</w:t>
      </w:r>
      <w:r w:rsidR="0054177D">
        <w:rPr>
          <w:rFonts w:ascii="Ubuntu" w:hAnsi="Ubuntu"/>
          <w:sz w:val="24"/>
          <w:szCs w:val="24"/>
          <w:lang w:val="es-MX"/>
        </w:rPr>
        <w:t xml:space="preserve"> </w:t>
      </w:r>
      <w:r>
        <w:rPr>
          <w:rFonts w:ascii="Ubuntu" w:hAnsi="Ubuntu"/>
          <w:sz w:val="24"/>
          <w:szCs w:val="24"/>
          <w:lang w:val="es-MX"/>
        </w:rPr>
        <w:t>de 2015 al 30 de abril de 2018.</w:t>
      </w:r>
    </w:p>
    <w:p w:rsidR="00774C21" w:rsidRDefault="00774C21" w:rsidP="0004249E">
      <w:pPr>
        <w:pStyle w:val="Prrafodelista"/>
        <w:spacing w:line="360" w:lineRule="auto"/>
        <w:ind w:left="1080"/>
        <w:jc w:val="both"/>
        <w:rPr>
          <w:rFonts w:ascii="Ubuntu" w:hAnsi="Ubuntu"/>
          <w:sz w:val="24"/>
          <w:szCs w:val="24"/>
          <w:lang w:val="es-MX"/>
        </w:rPr>
      </w:pPr>
    </w:p>
    <w:p w:rsidR="00FC1EEE" w:rsidRPr="001266AE" w:rsidRDefault="00FC1EEE" w:rsidP="0004249E">
      <w:pPr>
        <w:pStyle w:val="Ttulo1"/>
        <w:numPr>
          <w:ilvl w:val="0"/>
          <w:numId w:val="1"/>
        </w:numPr>
        <w:spacing w:line="360" w:lineRule="auto"/>
        <w:rPr>
          <w:rFonts w:ascii="Ubuntu" w:hAnsi="Ubuntu"/>
          <w:b/>
          <w:bCs/>
          <w:color w:val="auto"/>
          <w:sz w:val="24"/>
          <w:szCs w:val="24"/>
          <w:lang w:val="es-MX"/>
        </w:rPr>
      </w:pPr>
      <w:bookmarkStart w:id="7" w:name="_Toc50727010"/>
      <w:r w:rsidRPr="001266AE">
        <w:rPr>
          <w:rFonts w:ascii="Ubuntu" w:hAnsi="Ubuntu"/>
          <w:b/>
          <w:bCs/>
          <w:color w:val="auto"/>
          <w:sz w:val="24"/>
          <w:szCs w:val="24"/>
          <w:lang w:val="es-MX"/>
        </w:rPr>
        <w:t>Conclusión.</w:t>
      </w:r>
      <w:bookmarkEnd w:id="7"/>
    </w:p>
    <w:p w:rsidR="001515C1" w:rsidRDefault="00FC1EEE" w:rsidP="0004249E">
      <w:pPr>
        <w:pStyle w:val="Prrafodelista"/>
        <w:spacing w:line="360" w:lineRule="auto"/>
        <w:ind w:left="1080"/>
        <w:jc w:val="both"/>
        <w:rPr>
          <w:rFonts w:ascii="Ubuntu" w:hAnsi="Ubuntu"/>
          <w:sz w:val="24"/>
          <w:szCs w:val="24"/>
          <w:lang w:val="es-SV"/>
        </w:rPr>
      </w:pPr>
      <w:r>
        <w:rPr>
          <w:rFonts w:ascii="Ubuntu" w:hAnsi="Ubuntu"/>
          <w:sz w:val="24"/>
          <w:szCs w:val="24"/>
          <w:lang w:val="es-MX"/>
        </w:rPr>
        <w:t>De acuerdo a los resultados obtenidos</w:t>
      </w:r>
      <w:r w:rsidR="002943B4">
        <w:rPr>
          <w:rFonts w:ascii="Ubuntu" w:hAnsi="Ubuntu"/>
          <w:sz w:val="24"/>
          <w:szCs w:val="24"/>
          <w:lang w:val="es-MX"/>
        </w:rPr>
        <w:t xml:space="preserve"> en el </w:t>
      </w:r>
      <w:r w:rsidR="002943B4">
        <w:rPr>
          <w:rFonts w:ascii="Ubuntu" w:hAnsi="Ubuntu"/>
          <w:sz w:val="24"/>
          <w:szCs w:val="24"/>
          <w:lang w:val="es-SV"/>
        </w:rPr>
        <w:t xml:space="preserve">Examen Especial a los Ingresos y Egresos de la Alcaldía Municipal de Tepetitán, Departamento de San Vicente, durante el Período del 01 al </w:t>
      </w:r>
      <w:r w:rsidR="00CF4269">
        <w:rPr>
          <w:rFonts w:ascii="Ubuntu" w:hAnsi="Ubuntu"/>
          <w:sz w:val="24"/>
          <w:szCs w:val="24"/>
          <w:lang w:val="es-SV"/>
        </w:rPr>
        <w:t>30</w:t>
      </w:r>
      <w:r w:rsidR="002943B4">
        <w:rPr>
          <w:rFonts w:ascii="Ubuntu" w:hAnsi="Ubuntu"/>
          <w:sz w:val="24"/>
          <w:szCs w:val="24"/>
          <w:lang w:val="es-SV"/>
        </w:rPr>
        <w:t xml:space="preserve"> de </w:t>
      </w:r>
      <w:r w:rsidR="00CF4269">
        <w:rPr>
          <w:rFonts w:ascii="Ubuntu" w:hAnsi="Ubuntu"/>
          <w:sz w:val="24"/>
          <w:szCs w:val="24"/>
          <w:lang w:val="es-SV"/>
        </w:rPr>
        <w:t>abril</w:t>
      </w:r>
      <w:r w:rsidR="002943B4">
        <w:rPr>
          <w:rFonts w:ascii="Ubuntu" w:hAnsi="Ubuntu"/>
          <w:sz w:val="24"/>
          <w:szCs w:val="24"/>
          <w:lang w:val="es-SV"/>
        </w:rPr>
        <w:t xml:space="preserve"> de 2020</w:t>
      </w:r>
      <w:r>
        <w:rPr>
          <w:rFonts w:ascii="Ubuntu" w:hAnsi="Ubuntu"/>
          <w:sz w:val="24"/>
          <w:szCs w:val="24"/>
          <w:lang w:val="es-MX"/>
        </w:rPr>
        <w:t xml:space="preserve">, se concluye </w:t>
      </w:r>
      <w:r w:rsidR="00166EF2">
        <w:rPr>
          <w:rFonts w:ascii="Ubuntu" w:hAnsi="Ubuntu"/>
          <w:sz w:val="24"/>
          <w:szCs w:val="24"/>
          <w:lang w:val="es-MX"/>
        </w:rPr>
        <w:t>q</w:t>
      </w:r>
      <w:proofErr w:type="spellStart"/>
      <w:r w:rsidR="002943B4">
        <w:rPr>
          <w:rFonts w:ascii="Ubuntu" w:hAnsi="Ubuntu"/>
          <w:sz w:val="24"/>
          <w:szCs w:val="24"/>
          <w:lang w:val="es-SV"/>
        </w:rPr>
        <w:t>ue</w:t>
      </w:r>
      <w:proofErr w:type="spellEnd"/>
      <w:r w:rsidR="00B42AAA">
        <w:rPr>
          <w:rFonts w:ascii="Ubuntu" w:hAnsi="Ubuntu"/>
          <w:sz w:val="24"/>
          <w:szCs w:val="24"/>
          <w:lang w:val="es-SV"/>
        </w:rPr>
        <w:t>,</w:t>
      </w:r>
      <w:r w:rsidR="002943B4">
        <w:rPr>
          <w:rFonts w:ascii="Ubuntu" w:hAnsi="Ubuntu"/>
          <w:sz w:val="24"/>
          <w:szCs w:val="24"/>
          <w:lang w:val="es-SV"/>
        </w:rPr>
        <w:t xml:space="preserve"> </w:t>
      </w:r>
      <w:r w:rsidR="001515C1">
        <w:rPr>
          <w:rFonts w:ascii="Ubuntu" w:hAnsi="Ubuntu"/>
          <w:sz w:val="24"/>
          <w:szCs w:val="24"/>
          <w:lang w:val="es-SV"/>
        </w:rPr>
        <w:t xml:space="preserve">la municipalidad </w:t>
      </w:r>
      <w:r w:rsidR="002943B4">
        <w:rPr>
          <w:rFonts w:ascii="Ubuntu" w:hAnsi="Ubuntu"/>
          <w:sz w:val="24"/>
          <w:szCs w:val="24"/>
          <w:lang w:val="es-SV"/>
        </w:rPr>
        <w:t xml:space="preserve">de Tepetitán </w:t>
      </w:r>
      <w:r w:rsidR="001515C1">
        <w:rPr>
          <w:rFonts w:ascii="Ubuntu" w:hAnsi="Ubuntu"/>
          <w:sz w:val="24"/>
          <w:szCs w:val="24"/>
          <w:lang w:val="es-SV"/>
        </w:rPr>
        <w:t xml:space="preserve">aplicó las leyes y normativa </w:t>
      </w:r>
      <w:r w:rsidR="002943B4">
        <w:rPr>
          <w:rFonts w:ascii="Ubuntu" w:hAnsi="Ubuntu"/>
          <w:sz w:val="24"/>
          <w:szCs w:val="24"/>
          <w:lang w:val="es-SV"/>
        </w:rPr>
        <w:t>respectivas</w:t>
      </w:r>
      <w:r w:rsidR="001515C1">
        <w:rPr>
          <w:rFonts w:ascii="Ubuntu" w:hAnsi="Ubuntu"/>
          <w:sz w:val="24"/>
          <w:szCs w:val="24"/>
          <w:lang w:val="es-SV"/>
        </w:rPr>
        <w:t xml:space="preserve"> en el proceso de percepción de los ingresos y </w:t>
      </w:r>
      <w:r w:rsidR="002943B4">
        <w:rPr>
          <w:rFonts w:ascii="Ubuntu" w:hAnsi="Ubuntu"/>
          <w:sz w:val="24"/>
          <w:szCs w:val="24"/>
          <w:lang w:val="es-SV"/>
        </w:rPr>
        <w:t>en el proceso de erogación de fondos</w:t>
      </w:r>
      <w:r w:rsidR="001F20AC">
        <w:rPr>
          <w:rFonts w:ascii="Ubuntu" w:hAnsi="Ubuntu"/>
          <w:sz w:val="24"/>
          <w:szCs w:val="24"/>
          <w:lang w:val="es-SV"/>
        </w:rPr>
        <w:t>, excepto por el Hallazgo No 1 y Hallazgo No 2 contenidos en el romano IV</w:t>
      </w:r>
      <w:r w:rsidR="001515C1">
        <w:rPr>
          <w:rFonts w:ascii="Ubuntu" w:hAnsi="Ubuntu"/>
          <w:sz w:val="24"/>
          <w:szCs w:val="24"/>
          <w:lang w:val="es-SV"/>
        </w:rPr>
        <w:t>.</w:t>
      </w:r>
      <w:r w:rsidR="001F20AC">
        <w:rPr>
          <w:rFonts w:ascii="Ubuntu" w:hAnsi="Ubuntu"/>
          <w:sz w:val="24"/>
          <w:szCs w:val="24"/>
          <w:lang w:val="es-SV"/>
        </w:rPr>
        <w:t xml:space="preserve"> Resultados de la Auditoría, contenidos en el presente informe</w:t>
      </w:r>
      <w:r w:rsidR="00A03F78">
        <w:rPr>
          <w:rFonts w:ascii="Ubuntu" w:hAnsi="Ubuntu"/>
          <w:sz w:val="24"/>
          <w:szCs w:val="24"/>
          <w:lang w:val="es-SV"/>
        </w:rPr>
        <w:t>.</w:t>
      </w:r>
    </w:p>
    <w:p w:rsidR="00FC1EEE" w:rsidRPr="001266AE" w:rsidRDefault="00FC1EEE" w:rsidP="0004249E">
      <w:pPr>
        <w:pStyle w:val="Ttulo1"/>
        <w:numPr>
          <w:ilvl w:val="0"/>
          <w:numId w:val="1"/>
        </w:numPr>
        <w:spacing w:line="360" w:lineRule="auto"/>
        <w:rPr>
          <w:rFonts w:ascii="Ubuntu" w:hAnsi="Ubuntu"/>
          <w:b/>
          <w:bCs/>
          <w:color w:val="auto"/>
          <w:sz w:val="24"/>
          <w:szCs w:val="24"/>
          <w:lang w:val="es-MX"/>
        </w:rPr>
      </w:pPr>
      <w:bookmarkStart w:id="8" w:name="_Toc50727011"/>
      <w:r w:rsidRPr="001266AE">
        <w:rPr>
          <w:rFonts w:ascii="Ubuntu" w:hAnsi="Ubuntu"/>
          <w:b/>
          <w:bCs/>
          <w:color w:val="auto"/>
          <w:sz w:val="24"/>
          <w:szCs w:val="24"/>
          <w:lang w:val="es-MX"/>
        </w:rPr>
        <w:lastRenderedPageBreak/>
        <w:t>Párrafo Aclaratorio</w:t>
      </w:r>
      <w:bookmarkEnd w:id="8"/>
    </w:p>
    <w:p w:rsidR="00FC1EEE" w:rsidRDefault="00FC1EEE" w:rsidP="0004249E">
      <w:pPr>
        <w:pStyle w:val="Prrafodelista"/>
        <w:spacing w:line="360" w:lineRule="auto"/>
        <w:ind w:left="1080"/>
        <w:jc w:val="both"/>
        <w:rPr>
          <w:rFonts w:ascii="Ubuntu" w:hAnsi="Ubuntu"/>
          <w:sz w:val="24"/>
          <w:szCs w:val="24"/>
          <w:lang w:val="es-MX"/>
        </w:rPr>
      </w:pPr>
      <w:r>
        <w:rPr>
          <w:rFonts w:ascii="Ubuntu" w:hAnsi="Ubuntu"/>
          <w:sz w:val="24"/>
          <w:szCs w:val="24"/>
          <w:lang w:val="es-MX"/>
        </w:rPr>
        <w:t>El presente inf</w:t>
      </w:r>
      <w:r w:rsidR="00D21C5F">
        <w:rPr>
          <w:rFonts w:ascii="Ubuntu" w:hAnsi="Ubuntu"/>
          <w:sz w:val="24"/>
          <w:szCs w:val="24"/>
          <w:lang w:val="es-MX"/>
        </w:rPr>
        <w:t>orme contiene los resultados d</w:t>
      </w:r>
      <w:r w:rsidR="00D21C5F">
        <w:rPr>
          <w:rFonts w:ascii="Ubuntu" w:hAnsi="Ubuntu"/>
          <w:sz w:val="24"/>
          <w:szCs w:val="24"/>
          <w:lang w:val="es-SV"/>
        </w:rPr>
        <w:t xml:space="preserve">el Examen Especial a los Ingresos y Egresos de la Alcaldía Municipal de Tepetitán, Departamento de San Vicente, por el período del 01 </w:t>
      </w:r>
      <w:r w:rsidR="00BB7DFA">
        <w:rPr>
          <w:rFonts w:ascii="Ubuntu" w:hAnsi="Ubuntu"/>
          <w:sz w:val="24"/>
          <w:szCs w:val="24"/>
          <w:lang w:val="es-SV"/>
        </w:rPr>
        <w:t>al</w:t>
      </w:r>
      <w:r w:rsidR="00CF4269">
        <w:rPr>
          <w:rFonts w:ascii="Ubuntu" w:hAnsi="Ubuntu"/>
          <w:sz w:val="24"/>
          <w:szCs w:val="24"/>
          <w:lang w:val="es-SV"/>
        </w:rPr>
        <w:t xml:space="preserve"> 30</w:t>
      </w:r>
      <w:r w:rsidR="00D21C5F">
        <w:rPr>
          <w:rFonts w:ascii="Ubuntu" w:hAnsi="Ubuntu"/>
          <w:sz w:val="24"/>
          <w:szCs w:val="24"/>
          <w:lang w:val="es-SV"/>
        </w:rPr>
        <w:t xml:space="preserve"> al </w:t>
      </w:r>
      <w:r w:rsidR="00CF4269">
        <w:rPr>
          <w:rFonts w:ascii="Ubuntu" w:hAnsi="Ubuntu"/>
          <w:sz w:val="24"/>
          <w:szCs w:val="24"/>
          <w:lang w:val="es-SV"/>
        </w:rPr>
        <w:t>abril</w:t>
      </w:r>
      <w:r w:rsidR="00D21C5F">
        <w:rPr>
          <w:rFonts w:ascii="Ubuntu" w:hAnsi="Ubuntu"/>
          <w:sz w:val="24"/>
          <w:szCs w:val="24"/>
          <w:lang w:val="es-SV"/>
        </w:rPr>
        <w:t xml:space="preserve"> de 2020 </w:t>
      </w:r>
      <w:r>
        <w:rPr>
          <w:rFonts w:ascii="Ubuntu" w:hAnsi="Ubuntu"/>
          <w:sz w:val="24"/>
          <w:szCs w:val="24"/>
          <w:lang w:val="es-MX"/>
        </w:rPr>
        <w:t xml:space="preserve">ha sido elaborado para informar </w:t>
      </w:r>
      <w:r w:rsidR="00D21C5F">
        <w:rPr>
          <w:rFonts w:ascii="Ubuntu" w:hAnsi="Ubuntu"/>
          <w:sz w:val="24"/>
          <w:szCs w:val="24"/>
          <w:lang w:val="es-MX"/>
        </w:rPr>
        <w:t xml:space="preserve">al Consejo Municipal Plural de </w:t>
      </w:r>
      <w:r w:rsidR="002943B4">
        <w:rPr>
          <w:rFonts w:ascii="Ubuntu" w:hAnsi="Ubuntu"/>
          <w:sz w:val="24"/>
          <w:szCs w:val="24"/>
          <w:lang w:val="es-MX"/>
        </w:rPr>
        <w:t>Tepetitán</w:t>
      </w:r>
      <w:r>
        <w:rPr>
          <w:rFonts w:ascii="Ubuntu" w:hAnsi="Ubuntu"/>
          <w:sz w:val="24"/>
          <w:szCs w:val="24"/>
          <w:lang w:val="es-MX"/>
        </w:rPr>
        <w:t xml:space="preserve"> y a los funcionarios relacionados.</w:t>
      </w:r>
    </w:p>
    <w:p w:rsidR="00FC1EEE" w:rsidRDefault="00FC1EEE" w:rsidP="00A26312">
      <w:pPr>
        <w:spacing w:line="360" w:lineRule="auto"/>
        <w:jc w:val="both"/>
        <w:rPr>
          <w:rFonts w:ascii="Ubuntu" w:hAnsi="Ubuntu"/>
          <w:sz w:val="24"/>
          <w:szCs w:val="24"/>
          <w:lang w:val="es-MX"/>
        </w:rPr>
      </w:pPr>
    </w:p>
    <w:p w:rsidR="00FC1EEE" w:rsidRDefault="00FC1EEE" w:rsidP="006E5CBB">
      <w:pPr>
        <w:jc w:val="both"/>
        <w:rPr>
          <w:rFonts w:ascii="Ubuntu" w:hAnsi="Ubuntu"/>
          <w:sz w:val="24"/>
          <w:szCs w:val="24"/>
          <w:lang w:val="es-MX"/>
        </w:rPr>
      </w:pPr>
      <w:r>
        <w:rPr>
          <w:rFonts w:ascii="Ubuntu" w:hAnsi="Ubuntu"/>
          <w:sz w:val="24"/>
          <w:szCs w:val="24"/>
          <w:lang w:val="es-MX"/>
        </w:rPr>
        <w:t xml:space="preserve">Tepetitán, </w:t>
      </w:r>
      <w:r w:rsidR="00C657B8">
        <w:rPr>
          <w:rFonts w:ascii="Ubuntu" w:hAnsi="Ubuntu"/>
          <w:sz w:val="24"/>
          <w:szCs w:val="24"/>
          <w:lang w:val="es-MX"/>
        </w:rPr>
        <w:t>28</w:t>
      </w:r>
      <w:r>
        <w:rPr>
          <w:rFonts w:ascii="Ubuntu" w:hAnsi="Ubuntu"/>
          <w:sz w:val="24"/>
          <w:szCs w:val="24"/>
          <w:lang w:val="es-MX"/>
        </w:rPr>
        <w:t xml:space="preserve"> de </w:t>
      </w:r>
      <w:r w:rsidR="003A2E22">
        <w:rPr>
          <w:rFonts w:ascii="Ubuntu" w:hAnsi="Ubuntu"/>
          <w:sz w:val="24"/>
          <w:szCs w:val="24"/>
          <w:lang w:val="es-MX"/>
        </w:rPr>
        <w:t>septiembre</w:t>
      </w:r>
      <w:r>
        <w:rPr>
          <w:rFonts w:ascii="Ubuntu" w:hAnsi="Ubuntu"/>
          <w:sz w:val="24"/>
          <w:szCs w:val="24"/>
          <w:lang w:val="es-MX"/>
        </w:rPr>
        <w:t xml:space="preserve"> de 2020</w:t>
      </w:r>
    </w:p>
    <w:p w:rsidR="007A6793" w:rsidRDefault="007A6793" w:rsidP="006E5CBB">
      <w:pPr>
        <w:jc w:val="both"/>
        <w:rPr>
          <w:rFonts w:ascii="Ubuntu" w:hAnsi="Ubuntu"/>
          <w:sz w:val="24"/>
          <w:szCs w:val="24"/>
          <w:lang w:val="es-MX"/>
        </w:rPr>
      </w:pPr>
    </w:p>
    <w:p w:rsidR="007A6793" w:rsidRDefault="007A6793" w:rsidP="006E5CBB">
      <w:pPr>
        <w:jc w:val="both"/>
        <w:rPr>
          <w:rFonts w:ascii="Ubuntu" w:hAnsi="Ubuntu"/>
          <w:sz w:val="24"/>
          <w:szCs w:val="24"/>
          <w:lang w:val="es-MX"/>
        </w:rPr>
      </w:pPr>
    </w:p>
    <w:p w:rsidR="00FC1EEE" w:rsidRDefault="00FC1EEE" w:rsidP="006E5CBB">
      <w:pPr>
        <w:jc w:val="both"/>
        <w:rPr>
          <w:rFonts w:ascii="Ubuntu" w:hAnsi="Ubuntu"/>
          <w:sz w:val="24"/>
          <w:szCs w:val="24"/>
          <w:lang w:val="es-MX"/>
        </w:rPr>
      </w:pPr>
      <w:r>
        <w:rPr>
          <w:rFonts w:ascii="Ubuntu" w:hAnsi="Ubuntu"/>
          <w:sz w:val="24"/>
          <w:szCs w:val="24"/>
          <w:lang w:val="es-MX"/>
        </w:rPr>
        <w:t>DIOS UNION LIBERTAD</w:t>
      </w:r>
    </w:p>
    <w:p w:rsidR="007A6793" w:rsidRDefault="007A6793" w:rsidP="006E5CBB">
      <w:pPr>
        <w:jc w:val="both"/>
        <w:rPr>
          <w:rFonts w:ascii="Ubuntu" w:hAnsi="Ubuntu"/>
          <w:sz w:val="24"/>
          <w:szCs w:val="24"/>
          <w:lang w:val="es-MX"/>
        </w:rPr>
      </w:pPr>
    </w:p>
    <w:p w:rsidR="007A6793" w:rsidRDefault="007A6793" w:rsidP="006E5CBB">
      <w:pPr>
        <w:jc w:val="both"/>
        <w:rPr>
          <w:rFonts w:ascii="Ubuntu" w:hAnsi="Ubuntu"/>
          <w:sz w:val="24"/>
          <w:szCs w:val="24"/>
          <w:lang w:val="es-MX"/>
        </w:rPr>
      </w:pPr>
    </w:p>
    <w:p w:rsidR="007A6793" w:rsidRDefault="007A6793" w:rsidP="006E5CBB">
      <w:pPr>
        <w:jc w:val="both"/>
        <w:rPr>
          <w:rFonts w:ascii="Ubuntu" w:hAnsi="Ubuntu"/>
          <w:sz w:val="24"/>
          <w:szCs w:val="24"/>
          <w:lang w:val="es-MX"/>
        </w:rPr>
      </w:pPr>
    </w:p>
    <w:p w:rsidR="00FC1EEE" w:rsidRPr="00FC1EEE" w:rsidRDefault="00FC1EEE" w:rsidP="006E5CBB">
      <w:pPr>
        <w:jc w:val="both"/>
        <w:rPr>
          <w:rFonts w:ascii="Ubuntu" w:hAnsi="Ubuntu"/>
          <w:sz w:val="24"/>
          <w:szCs w:val="24"/>
          <w:lang w:val="es-MX"/>
        </w:rPr>
      </w:pPr>
      <w:r>
        <w:rPr>
          <w:rFonts w:ascii="Ubuntu" w:hAnsi="Ubuntu"/>
          <w:sz w:val="24"/>
          <w:szCs w:val="24"/>
          <w:lang w:val="es-MX"/>
        </w:rPr>
        <w:t>Responsable de Auditoría Interna</w:t>
      </w:r>
      <w:r w:rsidR="00726964">
        <w:rPr>
          <w:rFonts w:ascii="Ubuntu" w:hAnsi="Ubuntu"/>
          <w:sz w:val="24"/>
          <w:szCs w:val="24"/>
          <w:lang w:val="es-MX"/>
        </w:rPr>
        <w:t xml:space="preserve"> </w:t>
      </w:r>
      <w:bookmarkStart w:id="9" w:name="_GoBack"/>
      <w:bookmarkEnd w:id="9"/>
    </w:p>
    <w:sectPr w:rsidR="00FC1EEE" w:rsidRPr="00FC1EEE" w:rsidSect="0004249E">
      <w:pgSz w:w="12240" w:h="15840"/>
      <w:pgMar w:top="1418" w:right="170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Ubuntu">
    <w:altName w:val="Arial"/>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65E11"/>
    <w:multiLevelType w:val="hybridMultilevel"/>
    <w:tmpl w:val="72BC2DBA"/>
    <w:lvl w:ilvl="0" w:tplc="DB6A124C">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5DF547C8"/>
    <w:multiLevelType w:val="hybridMultilevel"/>
    <w:tmpl w:val="B576E0C6"/>
    <w:lvl w:ilvl="0" w:tplc="190EA05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61A66668"/>
    <w:multiLevelType w:val="hybridMultilevel"/>
    <w:tmpl w:val="DBA4B7CC"/>
    <w:lvl w:ilvl="0" w:tplc="440A000D">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3" w15:restartNumberingAfterBreak="0">
    <w:nsid w:val="62105697"/>
    <w:multiLevelType w:val="hybridMultilevel"/>
    <w:tmpl w:val="9BD24C00"/>
    <w:lvl w:ilvl="0" w:tplc="AC1AFD6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72336DAE"/>
    <w:multiLevelType w:val="hybridMultilevel"/>
    <w:tmpl w:val="19EA893A"/>
    <w:lvl w:ilvl="0" w:tplc="2C0C468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7FA95BA7"/>
    <w:multiLevelType w:val="hybridMultilevel"/>
    <w:tmpl w:val="FD7AC2CE"/>
    <w:lvl w:ilvl="0" w:tplc="96B2A7FC">
      <w:start w:val="1"/>
      <w:numFmt w:val="upperRoman"/>
      <w:lvlText w:val="%1."/>
      <w:lvlJc w:val="left"/>
      <w:pPr>
        <w:ind w:left="2160" w:hanging="720"/>
      </w:pPr>
      <w:rPr>
        <w:rFonts w:hint="default"/>
      </w:r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247"/>
    <w:rsid w:val="00006A9F"/>
    <w:rsid w:val="00013C38"/>
    <w:rsid w:val="00027F47"/>
    <w:rsid w:val="0004249E"/>
    <w:rsid w:val="00064451"/>
    <w:rsid w:val="00077E1B"/>
    <w:rsid w:val="000A3C81"/>
    <w:rsid w:val="000B72AF"/>
    <w:rsid w:val="000C6F3B"/>
    <w:rsid w:val="000E5FAA"/>
    <w:rsid w:val="00100EDE"/>
    <w:rsid w:val="001148CB"/>
    <w:rsid w:val="001266AE"/>
    <w:rsid w:val="001515C1"/>
    <w:rsid w:val="001551DC"/>
    <w:rsid w:val="00165CAC"/>
    <w:rsid w:val="00166EF2"/>
    <w:rsid w:val="0017073B"/>
    <w:rsid w:val="001F20AC"/>
    <w:rsid w:val="002003EB"/>
    <w:rsid w:val="00210361"/>
    <w:rsid w:val="002240E4"/>
    <w:rsid w:val="00224989"/>
    <w:rsid w:val="002474A7"/>
    <w:rsid w:val="00251A81"/>
    <w:rsid w:val="00261E6C"/>
    <w:rsid w:val="002943B4"/>
    <w:rsid w:val="002B62BE"/>
    <w:rsid w:val="002E639E"/>
    <w:rsid w:val="002F5F11"/>
    <w:rsid w:val="00322CDC"/>
    <w:rsid w:val="00366772"/>
    <w:rsid w:val="003859F6"/>
    <w:rsid w:val="003A2E22"/>
    <w:rsid w:val="004153EB"/>
    <w:rsid w:val="00432B16"/>
    <w:rsid w:val="00450247"/>
    <w:rsid w:val="00473B76"/>
    <w:rsid w:val="00477373"/>
    <w:rsid w:val="00491D6B"/>
    <w:rsid w:val="004959EB"/>
    <w:rsid w:val="00513C3D"/>
    <w:rsid w:val="0054177D"/>
    <w:rsid w:val="0055321C"/>
    <w:rsid w:val="005544CE"/>
    <w:rsid w:val="0057245A"/>
    <w:rsid w:val="00576BFA"/>
    <w:rsid w:val="005B08D9"/>
    <w:rsid w:val="00610C6E"/>
    <w:rsid w:val="00621247"/>
    <w:rsid w:val="00660CE7"/>
    <w:rsid w:val="0067434D"/>
    <w:rsid w:val="00690C13"/>
    <w:rsid w:val="006942EC"/>
    <w:rsid w:val="006A4676"/>
    <w:rsid w:val="006A63D4"/>
    <w:rsid w:val="006D318D"/>
    <w:rsid w:val="006E5CBB"/>
    <w:rsid w:val="0071521A"/>
    <w:rsid w:val="00726964"/>
    <w:rsid w:val="007439A2"/>
    <w:rsid w:val="007549CA"/>
    <w:rsid w:val="0077145A"/>
    <w:rsid w:val="00774C21"/>
    <w:rsid w:val="0078771E"/>
    <w:rsid w:val="00796AE8"/>
    <w:rsid w:val="007A6793"/>
    <w:rsid w:val="007B1AA6"/>
    <w:rsid w:val="007C5DF2"/>
    <w:rsid w:val="007F5B60"/>
    <w:rsid w:val="0080219D"/>
    <w:rsid w:val="00823C53"/>
    <w:rsid w:val="00862E00"/>
    <w:rsid w:val="008657E0"/>
    <w:rsid w:val="008A771F"/>
    <w:rsid w:val="008B2827"/>
    <w:rsid w:val="008B476B"/>
    <w:rsid w:val="008C087B"/>
    <w:rsid w:val="0092236F"/>
    <w:rsid w:val="00947A31"/>
    <w:rsid w:val="009560EE"/>
    <w:rsid w:val="00972F13"/>
    <w:rsid w:val="0099470D"/>
    <w:rsid w:val="009B0BA5"/>
    <w:rsid w:val="009E3CC5"/>
    <w:rsid w:val="00A03F78"/>
    <w:rsid w:val="00A26312"/>
    <w:rsid w:val="00A6454F"/>
    <w:rsid w:val="00A65251"/>
    <w:rsid w:val="00AA0EEA"/>
    <w:rsid w:val="00AB3FF4"/>
    <w:rsid w:val="00AE7401"/>
    <w:rsid w:val="00B419A7"/>
    <w:rsid w:val="00B42AAA"/>
    <w:rsid w:val="00B779BD"/>
    <w:rsid w:val="00BB7DFA"/>
    <w:rsid w:val="00BE4D63"/>
    <w:rsid w:val="00BE563E"/>
    <w:rsid w:val="00C657B8"/>
    <w:rsid w:val="00CA0D51"/>
    <w:rsid w:val="00CC0E56"/>
    <w:rsid w:val="00CC5373"/>
    <w:rsid w:val="00CF3414"/>
    <w:rsid w:val="00CF4269"/>
    <w:rsid w:val="00D14618"/>
    <w:rsid w:val="00D21C5F"/>
    <w:rsid w:val="00D23D80"/>
    <w:rsid w:val="00D257FA"/>
    <w:rsid w:val="00D56CBB"/>
    <w:rsid w:val="00D7243A"/>
    <w:rsid w:val="00D73B7D"/>
    <w:rsid w:val="00DB6981"/>
    <w:rsid w:val="00E028D6"/>
    <w:rsid w:val="00E45B44"/>
    <w:rsid w:val="00E577A3"/>
    <w:rsid w:val="00E620E2"/>
    <w:rsid w:val="00E712AC"/>
    <w:rsid w:val="00F8168C"/>
    <w:rsid w:val="00F927B0"/>
    <w:rsid w:val="00FB785E"/>
    <w:rsid w:val="00FC1EEE"/>
    <w:rsid w:val="00FE3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09B27-6866-4448-B675-E3DDF606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773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5373"/>
    <w:pPr>
      <w:ind w:left="720"/>
      <w:contextualSpacing/>
    </w:pPr>
  </w:style>
  <w:style w:type="character" w:customStyle="1" w:styleId="Ttulo1Car">
    <w:name w:val="Título 1 Car"/>
    <w:basedOn w:val="Fuentedeprrafopredeter"/>
    <w:link w:val="Ttulo1"/>
    <w:uiPriority w:val="9"/>
    <w:rsid w:val="00477373"/>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F8168C"/>
    <w:pPr>
      <w:outlineLvl w:val="9"/>
    </w:pPr>
    <w:rPr>
      <w:lang w:val="es-SV" w:eastAsia="es-SV"/>
    </w:rPr>
  </w:style>
  <w:style w:type="paragraph" w:styleId="TDC1">
    <w:name w:val="toc 1"/>
    <w:basedOn w:val="Normal"/>
    <w:next w:val="Normal"/>
    <w:autoRedefine/>
    <w:uiPriority w:val="39"/>
    <w:unhideWhenUsed/>
    <w:rsid w:val="00F8168C"/>
    <w:pPr>
      <w:spacing w:after="100"/>
    </w:pPr>
  </w:style>
  <w:style w:type="character" w:styleId="Hipervnculo">
    <w:name w:val="Hyperlink"/>
    <w:basedOn w:val="Fuentedeprrafopredeter"/>
    <w:uiPriority w:val="99"/>
    <w:unhideWhenUsed/>
    <w:rsid w:val="00F8168C"/>
    <w:rPr>
      <w:color w:val="0563C1" w:themeColor="hyperlink"/>
      <w:u w:val="single"/>
    </w:rPr>
  </w:style>
  <w:style w:type="table" w:styleId="Tablaconcuadrcula">
    <w:name w:val="Table Grid"/>
    <w:basedOn w:val="Tablanormal"/>
    <w:uiPriority w:val="39"/>
    <w:rsid w:val="00B42AAA"/>
    <w:pPr>
      <w:spacing w:after="0" w:line="240" w:lineRule="auto"/>
    </w:pPr>
    <w:rPr>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B42AAA"/>
    <w:pPr>
      <w:spacing w:after="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B42AAA"/>
    <w:rPr>
      <w:rFonts w:ascii="Times New Roman" w:eastAsia="Times New Roman" w:hAnsi="Times New Roman" w:cs="Times New Roman"/>
      <w:sz w:val="24"/>
      <w:szCs w:val="20"/>
      <w:lang w:val="es-ES" w:eastAsia="es-ES"/>
    </w:rPr>
  </w:style>
  <w:style w:type="paragraph" w:styleId="Textodeglobo">
    <w:name w:val="Balloon Text"/>
    <w:basedOn w:val="Normal"/>
    <w:link w:val="TextodegloboCar"/>
    <w:uiPriority w:val="99"/>
    <w:semiHidden/>
    <w:unhideWhenUsed/>
    <w:rsid w:val="00D257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57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20FC8-6402-4905-9576-CDBE34B39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2018</Words>
  <Characters>11100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2020-09-28T19:56:00Z</cp:lastPrinted>
  <dcterms:created xsi:type="dcterms:W3CDTF">2021-04-20T16:27:00Z</dcterms:created>
  <dcterms:modified xsi:type="dcterms:W3CDTF">2021-04-20T17:18:00Z</dcterms:modified>
</cp:coreProperties>
</file>