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85" w:rsidRPr="00D00BAF" w:rsidRDefault="000E0885">
      <w:pPr>
        <w:pStyle w:val="Textoindependiente"/>
        <w:tabs>
          <w:tab w:val="clear" w:pos="720"/>
          <w:tab w:val="clear" w:pos="1296"/>
          <w:tab w:val="clear" w:pos="2016"/>
          <w:tab w:val="left" w:pos="-2160"/>
          <w:tab w:val="left" w:pos="-1980"/>
        </w:tabs>
        <w:rPr>
          <w:rFonts w:ascii="Times New Roman" w:hAnsi="Times New Roman"/>
        </w:rPr>
      </w:pPr>
      <w:r w:rsidRPr="00D00BAF">
        <w:rPr>
          <w:rFonts w:ascii="Times New Roman" w:hAnsi="Times New Roman"/>
        </w:rPr>
        <w:t>BANCO DE FOMENTO AGROPECUARIO</w:t>
      </w:r>
    </w:p>
    <w:p w:rsidR="00B04FAC" w:rsidRPr="00B04FAC" w:rsidRDefault="00BA3DE2">
      <w:pPr>
        <w:pStyle w:val="Textoindependiente"/>
        <w:tabs>
          <w:tab w:val="clear" w:pos="720"/>
          <w:tab w:val="clear" w:pos="1296"/>
          <w:tab w:val="clear" w:pos="2016"/>
          <w:tab w:val="left" w:pos="-2160"/>
          <w:tab w:val="left" w:pos="-1980"/>
        </w:tabs>
        <w:rPr>
          <w:rFonts w:ascii="Times New Roman" w:hAnsi="Times New Roman"/>
          <w:sz w:val="22"/>
          <w:szCs w:val="22"/>
        </w:rPr>
      </w:pPr>
      <w:r w:rsidRPr="00B04FAC">
        <w:rPr>
          <w:rFonts w:ascii="Times New Roman" w:hAnsi="Times New Roman"/>
          <w:sz w:val="22"/>
          <w:szCs w:val="22"/>
        </w:rPr>
        <w:t xml:space="preserve">NOTAS A LOS ESTADOS FINANCIEROS </w:t>
      </w:r>
      <w:r w:rsidR="00B04FAC" w:rsidRPr="00B04FAC">
        <w:rPr>
          <w:rFonts w:ascii="Times New Roman" w:hAnsi="Times New Roman"/>
          <w:sz w:val="22"/>
          <w:szCs w:val="22"/>
        </w:rPr>
        <w:t xml:space="preserve">INTERMEDIOS </w:t>
      </w:r>
      <w:r w:rsidRPr="00B04FAC">
        <w:rPr>
          <w:rFonts w:ascii="Times New Roman" w:hAnsi="Times New Roman"/>
          <w:sz w:val="22"/>
          <w:szCs w:val="22"/>
        </w:rPr>
        <w:t>AL 31 DE MARZO</w:t>
      </w:r>
      <w:r w:rsidR="0067413E">
        <w:rPr>
          <w:rFonts w:ascii="Times New Roman" w:hAnsi="Times New Roman"/>
          <w:sz w:val="22"/>
          <w:szCs w:val="22"/>
        </w:rPr>
        <w:t xml:space="preserve"> DE</w:t>
      </w:r>
      <w:r w:rsidRPr="00B04FAC">
        <w:rPr>
          <w:rFonts w:ascii="Times New Roman" w:hAnsi="Times New Roman"/>
          <w:sz w:val="22"/>
          <w:szCs w:val="22"/>
        </w:rPr>
        <w:t xml:space="preserve"> 2016 Y 2015</w:t>
      </w:r>
    </w:p>
    <w:p w:rsidR="000E0885" w:rsidRPr="00D00BAF" w:rsidRDefault="00BA3DE2">
      <w:pPr>
        <w:pStyle w:val="Textoindependiente"/>
        <w:tabs>
          <w:tab w:val="clear" w:pos="720"/>
          <w:tab w:val="clear" w:pos="1296"/>
          <w:tab w:val="clear" w:pos="2016"/>
          <w:tab w:val="left" w:pos="-2160"/>
          <w:tab w:val="left" w:pos="-1980"/>
        </w:tabs>
        <w:rPr>
          <w:rFonts w:ascii="Times New Roman" w:hAnsi="Times New Roman"/>
          <w:sz w:val="22"/>
        </w:rPr>
      </w:pPr>
      <w:r w:rsidRPr="00BA3DE2">
        <w:rPr>
          <w:rFonts w:ascii="Times New Roman" w:hAnsi="Times New Roman"/>
        </w:rPr>
        <w:t xml:space="preserve"> </w:t>
      </w:r>
      <w:r w:rsidR="000E0885" w:rsidRPr="00D00BAF">
        <w:rPr>
          <w:rFonts w:ascii="Times New Roman" w:hAnsi="Times New Roman"/>
          <w:sz w:val="22"/>
        </w:rPr>
        <w:t>(Expresados en miles de dólares de los Estados Unidos de América)</w:t>
      </w:r>
    </w:p>
    <w:p w:rsidR="000E0885" w:rsidRDefault="000E0885">
      <w:pPr>
        <w:pStyle w:val="Textoindependiente"/>
        <w:tabs>
          <w:tab w:val="clear" w:pos="720"/>
          <w:tab w:val="clear" w:pos="1296"/>
          <w:tab w:val="clear" w:pos="2016"/>
          <w:tab w:val="left" w:pos="-2160"/>
          <w:tab w:val="left" w:pos="-1980"/>
        </w:tabs>
        <w:ind w:left="360"/>
        <w:jc w:val="both"/>
        <w:rPr>
          <w:rFonts w:ascii="Times New Roman" w:hAnsi="Times New Roman"/>
          <w:sz w:val="22"/>
        </w:rPr>
      </w:pPr>
    </w:p>
    <w:p w:rsidR="00A9714E" w:rsidRPr="00D00BAF" w:rsidRDefault="00A9714E" w:rsidP="002107B5">
      <w:pPr>
        <w:widowControl w:val="0"/>
        <w:tabs>
          <w:tab w:val="left" w:pos="-2160"/>
          <w:tab w:val="left" w:pos="-1980"/>
        </w:tabs>
        <w:ind w:left="360"/>
        <w:jc w:val="both"/>
        <w:rPr>
          <w:b/>
          <w:snapToGrid w:val="0"/>
          <w:sz w:val="22"/>
          <w:lang w:val="es-ES_tradnl"/>
        </w:rPr>
      </w:pPr>
    </w:p>
    <w:p w:rsidR="000E0885" w:rsidRPr="0067285E" w:rsidRDefault="000E0885">
      <w:pPr>
        <w:pStyle w:val="Textoindependiente"/>
        <w:numPr>
          <w:ilvl w:val="0"/>
          <w:numId w:val="6"/>
        </w:numPr>
        <w:tabs>
          <w:tab w:val="clear" w:pos="720"/>
          <w:tab w:val="clear" w:pos="1296"/>
          <w:tab w:val="clear" w:pos="2016"/>
          <w:tab w:val="left" w:pos="-2160"/>
          <w:tab w:val="left" w:pos="-1980"/>
        </w:tabs>
        <w:jc w:val="both"/>
        <w:rPr>
          <w:rFonts w:ascii="Times New Roman" w:hAnsi="Times New Roman"/>
        </w:rPr>
      </w:pPr>
      <w:r w:rsidRPr="0067285E">
        <w:rPr>
          <w:rFonts w:ascii="Times New Roman" w:hAnsi="Times New Roman"/>
        </w:rPr>
        <w:t>OPERACIONES</w:t>
      </w: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rPr>
      </w:pP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b w:val="0"/>
        </w:rPr>
      </w:pPr>
      <w:r w:rsidRPr="00D00BAF">
        <w:rPr>
          <w:rFonts w:ascii="Times New Roman" w:hAnsi="Times New Roman"/>
          <w:b w:val="0"/>
        </w:rPr>
        <w:t>Organización y Propósito</w:t>
      </w: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b w:val="0"/>
        </w:rPr>
      </w:pPr>
    </w:p>
    <w:p w:rsidR="000E0885" w:rsidRPr="00D00BAF" w:rsidRDefault="000E0885">
      <w:pPr>
        <w:pStyle w:val="Textoindependiente2"/>
        <w:tabs>
          <w:tab w:val="clear" w:pos="-2160"/>
          <w:tab w:val="clear" w:pos="-1980"/>
        </w:tabs>
      </w:pPr>
      <w:r w:rsidRPr="00D00BAF">
        <w:t>El Banco de Fomento Agropecuario se dedica a la intermediación financiera mediante la captación de depósitos del público y a la colocación de préstamos principalmente a los sectores agropecuarios y la pequeña y mediana empresa; fue creado mediante Decreto Legislativo No. 312 de fecha 10 de abril de 1973, con personería jurídica propia, definido como institución oficial de crédito, descentralizada, con capital aportado por El Estado, con autonomía en la administración de sus bienes y operaciones que realiza y su plazo es indefinido.</w:t>
      </w: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b w:val="0"/>
        </w:rPr>
      </w:pP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b w:val="0"/>
        </w:rPr>
      </w:pPr>
      <w:r w:rsidRPr="00D00BAF">
        <w:rPr>
          <w:rFonts w:ascii="Times New Roman" w:hAnsi="Times New Roman"/>
          <w:b w:val="0"/>
        </w:rPr>
        <w:t>Los Estados Financieros están expresados en miles de dólares de los Estados Unidos de América.</w:t>
      </w: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rPr>
      </w:pP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rPr>
      </w:pPr>
    </w:p>
    <w:p w:rsidR="000E0885" w:rsidRPr="0067285E" w:rsidRDefault="000E0885">
      <w:pPr>
        <w:pStyle w:val="Textoindependiente"/>
        <w:numPr>
          <w:ilvl w:val="0"/>
          <w:numId w:val="6"/>
        </w:numPr>
        <w:tabs>
          <w:tab w:val="clear" w:pos="720"/>
          <w:tab w:val="clear" w:pos="1296"/>
          <w:tab w:val="clear" w:pos="2016"/>
          <w:tab w:val="left" w:pos="-2160"/>
          <w:tab w:val="left" w:pos="-1980"/>
        </w:tabs>
        <w:jc w:val="both"/>
        <w:rPr>
          <w:rFonts w:ascii="Times New Roman" w:hAnsi="Times New Roman"/>
        </w:rPr>
      </w:pPr>
      <w:r w:rsidRPr="0067285E">
        <w:rPr>
          <w:rFonts w:ascii="Times New Roman" w:hAnsi="Times New Roman"/>
        </w:rPr>
        <w:t>PRINCIPALES POLÍTICAS CONTABLES</w:t>
      </w: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b w:val="0"/>
        </w:rPr>
      </w:pP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rPr>
      </w:pPr>
      <w:r w:rsidRPr="00D00BAF">
        <w:rPr>
          <w:rFonts w:ascii="Times New Roman" w:hAnsi="Times New Roman"/>
        </w:rPr>
        <w:t>2.1</w:t>
      </w:r>
      <w:r w:rsidRPr="00D00BAF">
        <w:rPr>
          <w:rFonts w:ascii="Times New Roman" w:hAnsi="Times New Roman"/>
        </w:rPr>
        <w:tab/>
        <w:t>Normas técnicas y principios de contabilidad</w:t>
      </w: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b w:val="0"/>
        </w:rPr>
      </w:pPr>
    </w:p>
    <w:p w:rsidR="000E0885" w:rsidRPr="00D00BAF" w:rsidRDefault="000E0885">
      <w:pPr>
        <w:pStyle w:val="Textoindependiente"/>
        <w:tabs>
          <w:tab w:val="clear" w:pos="720"/>
          <w:tab w:val="clear" w:pos="1296"/>
          <w:tab w:val="clear" w:pos="2016"/>
          <w:tab w:val="left" w:pos="-2160"/>
          <w:tab w:val="left" w:pos="-1980"/>
        </w:tabs>
        <w:ind w:left="709"/>
        <w:jc w:val="both"/>
        <w:rPr>
          <w:rFonts w:ascii="Times New Roman" w:hAnsi="Times New Roman"/>
          <w:b w:val="0"/>
        </w:rPr>
      </w:pPr>
      <w:r w:rsidRPr="00D00BAF">
        <w:rPr>
          <w:rFonts w:ascii="Times New Roman" w:hAnsi="Times New Roman"/>
          <w:b w:val="0"/>
        </w:rPr>
        <w:t xml:space="preserve">Los presentes Estados Financieros han sido preparados por el Banco de Fomento Agropecuario con base a las normas contables emitidas por la Superintendencia del Sistema Financiero, las cuales prevalecen cuando existe conflicto con las Normas Internacionales de Información Financiera - NIIF (Vea Nota </w:t>
      </w:r>
      <w:r w:rsidR="00B04FAC">
        <w:rPr>
          <w:rFonts w:ascii="Times New Roman" w:hAnsi="Times New Roman"/>
          <w:b w:val="0"/>
        </w:rPr>
        <w:t>19</w:t>
      </w:r>
      <w:r w:rsidRPr="00D00BAF">
        <w:rPr>
          <w:rFonts w:ascii="Times New Roman" w:hAnsi="Times New Roman"/>
          <w:b w:val="0"/>
        </w:rPr>
        <w:t>). El Banco utiliza las NIIF en su opción más conservadora, cuando la Superintendencia no se haya manifestado por alguna de las opciones permitidas en el caso que la transacción u operación contable no se encuentre regulada deberá contabilizarse utilizando el marco conceptual de la referida norma. Aun cuando pueden llegar a diferir de su efecto final, la Administración considera que las estimaciones y supuestos utilizados fueron los adecuados en las circunstancias.</w:t>
      </w:r>
    </w:p>
    <w:p w:rsidR="000E0885" w:rsidRPr="00D00BAF" w:rsidRDefault="000E0885">
      <w:pPr>
        <w:pStyle w:val="Textoindependiente"/>
        <w:tabs>
          <w:tab w:val="clear" w:pos="720"/>
          <w:tab w:val="clear" w:pos="1296"/>
          <w:tab w:val="clear" w:pos="2016"/>
        </w:tabs>
        <w:jc w:val="both"/>
        <w:rPr>
          <w:rFonts w:ascii="Times New Roman" w:hAnsi="Times New Roman"/>
          <w:b w:val="0"/>
        </w:rPr>
      </w:pP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rPr>
      </w:pPr>
      <w:r w:rsidRPr="00D00BAF">
        <w:rPr>
          <w:rFonts w:ascii="Times New Roman" w:hAnsi="Times New Roman"/>
        </w:rPr>
        <w:t>2.2</w:t>
      </w:r>
      <w:r w:rsidRPr="00D00BAF">
        <w:rPr>
          <w:rFonts w:ascii="Times New Roman" w:hAnsi="Times New Roman"/>
        </w:rPr>
        <w:tab/>
        <w:t>Políticas Obligatorias</w:t>
      </w:r>
    </w:p>
    <w:p w:rsidR="000E0885" w:rsidRPr="00D00BAF" w:rsidRDefault="000E0885">
      <w:pPr>
        <w:pStyle w:val="Textoindependiente"/>
        <w:tabs>
          <w:tab w:val="clear" w:pos="720"/>
          <w:tab w:val="clear" w:pos="1296"/>
          <w:tab w:val="clear" w:pos="2016"/>
          <w:tab w:val="left" w:pos="-2160"/>
        </w:tabs>
        <w:jc w:val="both"/>
        <w:rPr>
          <w:rFonts w:ascii="Times New Roman" w:hAnsi="Times New Roman"/>
          <w:b w:val="0"/>
        </w:rPr>
      </w:pPr>
    </w:p>
    <w:p w:rsidR="000E0885" w:rsidRPr="00D00BAF" w:rsidRDefault="000E0885" w:rsidP="005D3251">
      <w:pPr>
        <w:pStyle w:val="Textoindependiente"/>
        <w:tabs>
          <w:tab w:val="clear" w:pos="720"/>
          <w:tab w:val="clear" w:pos="1296"/>
          <w:tab w:val="clear" w:pos="2016"/>
          <w:tab w:val="left" w:pos="-2160"/>
        </w:tabs>
        <w:ind w:firstLine="709"/>
        <w:jc w:val="both"/>
        <w:rPr>
          <w:rFonts w:ascii="Times New Roman" w:hAnsi="Times New Roman"/>
          <w:b w:val="0"/>
        </w:rPr>
      </w:pPr>
      <w:r w:rsidRPr="00D00BAF">
        <w:rPr>
          <w:rFonts w:ascii="Times New Roman" w:hAnsi="Times New Roman"/>
          <w:b w:val="0"/>
        </w:rPr>
        <w:t>Las políticas contables de obligatorio cumplimiento tratan sobre los temas siguientes:</w:t>
      </w:r>
    </w:p>
    <w:p w:rsidR="000E0885" w:rsidRPr="00D00BAF" w:rsidRDefault="000E0885">
      <w:pPr>
        <w:pStyle w:val="Textoindependiente"/>
        <w:tabs>
          <w:tab w:val="clear" w:pos="720"/>
          <w:tab w:val="clear" w:pos="1296"/>
          <w:tab w:val="clear" w:pos="2016"/>
          <w:tab w:val="left" w:pos="-2160"/>
        </w:tabs>
        <w:jc w:val="both"/>
        <w:rPr>
          <w:rFonts w:ascii="Times New Roman" w:hAnsi="Times New Roman"/>
          <w:b w:val="0"/>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t>Inversiones Financieras.</w:t>
      </w: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b w:val="0"/>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t>Provisión de intereses y suspensión de la provisión.</w:t>
      </w: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b w:val="0"/>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t>Activo fijo.</w:t>
      </w:r>
    </w:p>
    <w:p w:rsidR="002F47AF" w:rsidRPr="00D00BAF" w:rsidRDefault="002F47AF" w:rsidP="002F47AF">
      <w:pPr>
        <w:pStyle w:val="Textoindependiente"/>
        <w:tabs>
          <w:tab w:val="clear" w:pos="720"/>
          <w:tab w:val="clear" w:pos="1296"/>
          <w:tab w:val="clear" w:pos="2016"/>
          <w:tab w:val="left" w:pos="-2160"/>
        </w:tabs>
        <w:jc w:val="both"/>
        <w:rPr>
          <w:rFonts w:ascii="Times New Roman" w:hAnsi="Times New Roman"/>
          <w:b w:val="0"/>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lastRenderedPageBreak/>
        <w:t xml:space="preserve">Indemnizaciones y </w:t>
      </w:r>
      <w:r w:rsidR="00851585" w:rsidRPr="00D00BAF">
        <w:rPr>
          <w:rFonts w:ascii="Times New Roman" w:hAnsi="Times New Roman"/>
          <w:b w:val="0"/>
        </w:rPr>
        <w:t>retiro v</w:t>
      </w:r>
      <w:r w:rsidRPr="00D00BAF">
        <w:rPr>
          <w:rFonts w:ascii="Times New Roman" w:hAnsi="Times New Roman"/>
          <w:b w:val="0"/>
        </w:rPr>
        <w:t>oluntario.</w:t>
      </w: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b w:val="0"/>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t>Reservas de saneamiento.</w:t>
      </w:r>
    </w:p>
    <w:p w:rsidR="000E0885" w:rsidRPr="00D00BAF" w:rsidRDefault="000E0885">
      <w:pPr>
        <w:pStyle w:val="Textoindependiente"/>
        <w:tabs>
          <w:tab w:val="clear" w:pos="720"/>
          <w:tab w:val="clear" w:pos="1296"/>
          <w:tab w:val="clear" w:pos="2016"/>
          <w:tab w:val="left" w:pos="-2160"/>
          <w:tab w:val="left" w:pos="-1980"/>
        </w:tabs>
        <w:ind w:left="705"/>
        <w:jc w:val="both"/>
        <w:rPr>
          <w:rFonts w:ascii="Times New Roman" w:hAnsi="Times New Roman"/>
          <w:b w:val="0"/>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t>Préstamos vencidos.</w:t>
      </w:r>
    </w:p>
    <w:p w:rsidR="000E0885" w:rsidRPr="00D00BAF" w:rsidRDefault="000E0885">
      <w:pPr>
        <w:pStyle w:val="Textoindependiente"/>
        <w:tabs>
          <w:tab w:val="clear" w:pos="1296"/>
          <w:tab w:val="clear" w:pos="2016"/>
          <w:tab w:val="left" w:pos="-2160"/>
          <w:tab w:val="left" w:pos="-1980"/>
        </w:tabs>
        <w:jc w:val="both"/>
        <w:rPr>
          <w:rFonts w:ascii="Times New Roman" w:hAnsi="Times New Roman"/>
          <w:b w:val="0"/>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t>Inversiones accionarias.</w:t>
      </w:r>
    </w:p>
    <w:p w:rsidR="000E0885" w:rsidRPr="00D00BAF" w:rsidRDefault="000E0885">
      <w:pPr>
        <w:pStyle w:val="Textoindependiente"/>
        <w:tabs>
          <w:tab w:val="clear" w:pos="1296"/>
          <w:tab w:val="clear" w:pos="2016"/>
          <w:tab w:val="left" w:pos="-2160"/>
          <w:tab w:val="left" w:pos="-1980"/>
        </w:tabs>
        <w:jc w:val="both"/>
        <w:rPr>
          <w:rFonts w:ascii="Times New Roman" w:hAnsi="Times New Roman"/>
          <w:b w:val="0"/>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t>Activos extraordinarios.</w:t>
      </w:r>
    </w:p>
    <w:p w:rsidR="000E0885" w:rsidRPr="00D00BAF" w:rsidRDefault="000E0885">
      <w:pPr>
        <w:pStyle w:val="Textoindependiente"/>
        <w:tabs>
          <w:tab w:val="clear" w:pos="1296"/>
          <w:tab w:val="clear" w:pos="2016"/>
          <w:tab w:val="left" w:pos="-2160"/>
          <w:tab w:val="left" w:pos="-1980"/>
        </w:tabs>
        <w:jc w:val="both"/>
        <w:rPr>
          <w:rFonts w:ascii="Times New Roman" w:hAnsi="Times New Roman"/>
          <w:b w:val="0"/>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t>Transacciones en moneda extranjera.</w:t>
      </w:r>
    </w:p>
    <w:p w:rsidR="000E0885" w:rsidRPr="00D00BAF" w:rsidRDefault="000E0885">
      <w:pPr>
        <w:pStyle w:val="Prrafodelista"/>
        <w:rPr>
          <w:b/>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t>Cargos por riesgos generales de la Banca.</w:t>
      </w:r>
    </w:p>
    <w:p w:rsidR="000E0885" w:rsidRPr="00D00BAF" w:rsidRDefault="000E0885">
      <w:pPr>
        <w:pStyle w:val="Textoindependiente"/>
        <w:tabs>
          <w:tab w:val="clear" w:pos="1296"/>
          <w:tab w:val="clear" w:pos="2016"/>
          <w:tab w:val="left" w:pos="-2160"/>
          <w:tab w:val="left" w:pos="-1980"/>
        </w:tabs>
        <w:jc w:val="both"/>
        <w:rPr>
          <w:rFonts w:ascii="Times New Roman" w:hAnsi="Times New Roman"/>
          <w:b w:val="0"/>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t>Intereses por pagar.</w:t>
      </w:r>
    </w:p>
    <w:p w:rsidR="000E0885" w:rsidRPr="00D00BAF" w:rsidRDefault="000E0885">
      <w:pPr>
        <w:pStyle w:val="Textoindependiente"/>
        <w:tabs>
          <w:tab w:val="clear" w:pos="1296"/>
          <w:tab w:val="clear" w:pos="2016"/>
          <w:tab w:val="left" w:pos="-2160"/>
          <w:tab w:val="left" w:pos="-1980"/>
        </w:tabs>
        <w:jc w:val="both"/>
        <w:rPr>
          <w:rFonts w:ascii="Times New Roman" w:hAnsi="Times New Roman"/>
          <w:b w:val="0"/>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t>Reconocimiento de ingresos y</w:t>
      </w:r>
    </w:p>
    <w:p w:rsidR="000E0885" w:rsidRPr="00D00BAF" w:rsidRDefault="000E0885">
      <w:pPr>
        <w:pStyle w:val="Textoindependiente"/>
        <w:tabs>
          <w:tab w:val="clear" w:pos="1296"/>
          <w:tab w:val="clear" w:pos="2016"/>
          <w:tab w:val="left" w:pos="-2160"/>
          <w:tab w:val="left" w:pos="-1980"/>
        </w:tabs>
        <w:jc w:val="both"/>
        <w:rPr>
          <w:rFonts w:ascii="Times New Roman" w:hAnsi="Times New Roman"/>
          <w:b w:val="0"/>
        </w:rPr>
      </w:pPr>
    </w:p>
    <w:p w:rsidR="000E0885" w:rsidRPr="00D00BAF" w:rsidRDefault="000E0885" w:rsidP="005D3251">
      <w:pPr>
        <w:pStyle w:val="Textoindependiente"/>
        <w:numPr>
          <w:ilvl w:val="0"/>
          <w:numId w:val="21"/>
        </w:numPr>
        <w:tabs>
          <w:tab w:val="clear" w:pos="720"/>
          <w:tab w:val="clear" w:pos="1296"/>
          <w:tab w:val="clear" w:pos="1777"/>
          <w:tab w:val="clear" w:pos="2016"/>
          <w:tab w:val="left" w:pos="-2160"/>
          <w:tab w:val="num" w:pos="1276"/>
        </w:tabs>
        <w:ind w:hanging="1068"/>
        <w:jc w:val="both"/>
        <w:rPr>
          <w:rFonts w:ascii="Times New Roman" w:hAnsi="Times New Roman"/>
          <w:b w:val="0"/>
        </w:rPr>
      </w:pPr>
      <w:r w:rsidRPr="00D00BAF">
        <w:rPr>
          <w:rFonts w:ascii="Times New Roman" w:hAnsi="Times New Roman"/>
          <w:b w:val="0"/>
        </w:rPr>
        <w:t>Reconocimiento de pérdidas en préstamos y cuentas por cobrar.</w:t>
      </w:r>
    </w:p>
    <w:p w:rsidR="000E0885" w:rsidRPr="00D00BAF" w:rsidRDefault="000E0885">
      <w:pPr>
        <w:jc w:val="both"/>
        <w:rPr>
          <w:sz w:val="24"/>
          <w:lang w:val="es-ES_tradnl"/>
        </w:rPr>
      </w:pPr>
    </w:p>
    <w:p w:rsidR="000E0885" w:rsidRPr="00D00BAF" w:rsidRDefault="000E0885">
      <w:pPr>
        <w:pStyle w:val="Textoindependiente2"/>
        <w:tabs>
          <w:tab w:val="clear" w:pos="-2160"/>
          <w:tab w:val="clear" w:pos="-1980"/>
        </w:tabs>
      </w:pPr>
      <w:r w:rsidRPr="00D00BAF">
        <w:t>Las políticas sobre los temas antes relacionados se publican por la Superintendencia en los boletines y otros medios de divulgación.</w:t>
      </w:r>
    </w:p>
    <w:p w:rsidR="000E0885" w:rsidRPr="00D00BAF" w:rsidRDefault="000E0885">
      <w:pPr>
        <w:pStyle w:val="Textoindependiente2"/>
        <w:tabs>
          <w:tab w:val="clear" w:pos="-2160"/>
          <w:tab w:val="clear" w:pos="-1980"/>
        </w:tabs>
      </w:pPr>
    </w:p>
    <w:p w:rsidR="000E0885" w:rsidRPr="00D00BAF" w:rsidRDefault="000E0885">
      <w:pPr>
        <w:pStyle w:val="Textoindependiente2"/>
        <w:tabs>
          <w:tab w:val="clear" w:pos="-2160"/>
          <w:tab w:val="clear" w:pos="-1980"/>
        </w:tabs>
      </w:pPr>
    </w:p>
    <w:bookmarkStart w:id="0" w:name="_Hlk45616015"/>
    <w:p w:rsidR="000E0885" w:rsidRPr="00FE78FF" w:rsidRDefault="009C432F">
      <w:pPr>
        <w:pStyle w:val="Textoindependiente"/>
        <w:numPr>
          <w:ilvl w:val="0"/>
          <w:numId w:val="6"/>
        </w:numPr>
        <w:tabs>
          <w:tab w:val="clear" w:pos="720"/>
          <w:tab w:val="clear" w:pos="1296"/>
          <w:tab w:val="clear" w:pos="2016"/>
          <w:tab w:val="left" w:pos="-2160"/>
          <w:tab w:val="left" w:pos="-1980"/>
        </w:tabs>
        <w:jc w:val="both"/>
        <w:rPr>
          <w:rFonts w:ascii="Times New Roman" w:hAnsi="Times New Roman"/>
        </w:rPr>
      </w:pPr>
      <w:r w:rsidRPr="00FE78FF">
        <w:rPr>
          <w:rFonts w:ascii="Times New Roman" w:hAnsi="Times New Roman"/>
        </w:rPr>
        <w:fldChar w:fldCharType="begin"/>
      </w:r>
      <w:r w:rsidRPr="00FE78FF">
        <w:rPr>
          <w:rFonts w:ascii="Times New Roman" w:hAnsi="Times New Roman"/>
        </w:rPr>
        <w:instrText xml:space="preserve"> HYPERLINK "NOTA%205.pdf" </w:instrText>
      </w:r>
      <w:r w:rsidRPr="00FE78FF">
        <w:rPr>
          <w:rFonts w:ascii="Times New Roman" w:hAnsi="Times New Roman"/>
        </w:rPr>
        <w:fldChar w:fldCharType="separate"/>
      </w:r>
      <w:r w:rsidR="000E0885" w:rsidRPr="00FE78FF">
        <w:rPr>
          <w:rStyle w:val="Hipervnculo"/>
          <w:rFonts w:ascii="Times New Roman" w:hAnsi="Times New Roman"/>
          <w:color w:val="auto"/>
          <w:u w:val="none"/>
        </w:rPr>
        <w:t>INVERSIONES FINANCIERAS Y SUS PROVISIONES</w:t>
      </w:r>
      <w:r w:rsidRPr="00FE78FF">
        <w:rPr>
          <w:rFonts w:ascii="Times New Roman" w:hAnsi="Times New Roman"/>
        </w:rPr>
        <w:fldChar w:fldCharType="end"/>
      </w:r>
    </w:p>
    <w:p w:rsidR="002A1B56" w:rsidRPr="00D00BAF" w:rsidRDefault="002A1B56">
      <w:pPr>
        <w:jc w:val="both"/>
        <w:rPr>
          <w:sz w:val="24"/>
        </w:rPr>
      </w:pPr>
    </w:p>
    <w:bookmarkStart w:id="1" w:name="_MON_1128253341"/>
    <w:bookmarkStart w:id="2" w:name="_MON_1128257286"/>
    <w:bookmarkStart w:id="3" w:name="_MON_1128257351"/>
    <w:bookmarkStart w:id="4" w:name="_MON_1128257596"/>
    <w:bookmarkStart w:id="5" w:name="_MON_1144052663"/>
    <w:bookmarkStart w:id="6" w:name="_MON_1151584559"/>
    <w:bookmarkStart w:id="7" w:name="_MON_1159345246"/>
    <w:bookmarkStart w:id="8" w:name="_MON_1159360593"/>
    <w:bookmarkStart w:id="9" w:name="_MON_1285759814"/>
    <w:bookmarkStart w:id="10" w:name="_MON_1332825391"/>
    <w:bookmarkStart w:id="11" w:name="_MON_1364017902"/>
    <w:bookmarkStart w:id="12" w:name="_MON_1395836475"/>
    <w:bookmarkStart w:id="13" w:name="_MON_1452502157"/>
    <w:bookmarkStart w:id="14" w:name="_MON_1458545709"/>
    <w:bookmarkStart w:id="15" w:name="_MON_1119889068"/>
    <w:bookmarkStart w:id="16" w:name="_MON_1119889408"/>
    <w:bookmarkStart w:id="17" w:name="_MON_1119889455"/>
    <w:bookmarkStart w:id="18" w:name="_MON_1119948593"/>
    <w:bookmarkStart w:id="19" w:name="_MON_1119948842"/>
    <w:bookmarkStart w:id="20" w:name="_MON_1119948903"/>
    <w:bookmarkStart w:id="21" w:name="_MON_1119948954"/>
    <w:bookmarkStart w:id="22" w:name="_MON_1120027567"/>
    <w:bookmarkStart w:id="23" w:name="_MON_1120552170"/>
    <w:bookmarkStart w:id="24" w:name="_MON_112055225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MON_1120552335"/>
    <w:bookmarkEnd w:id="25"/>
    <w:p w:rsidR="000E0885" w:rsidRPr="00D00BAF" w:rsidRDefault="00027CAD">
      <w:pPr>
        <w:jc w:val="both"/>
        <w:rPr>
          <w:sz w:val="24"/>
        </w:rPr>
      </w:pPr>
      <w:r w:rsidRPr="00D00BAF">
        <w:rPr>
          <w:sz w:val="24"/>
        </w:rPr>
        <w:object w:dxaOrig="6213" w:dyaOrig="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35.5pt" o:ole="" fillcolor="window">
            <v:imagedata r:id="rId9" o:title=""/>
          </v:shape>
          <o:OLEObject Type="Embed" ProgID="Excel.Sheet.8" ShapeID="_x0000_i1025" DrawAspect="Content" ObjectID="_1523254127" r:id="rId10"/>
        </w:object>
      </w:r>
    </w:p>
    <w:p w:rsidR="000E0885" w:rsidRPr="00D00BAF" w:rsidRDefault="000E0885">
      <w:pPr>
        <w:jc w:val="both"/>
        <w:rPr>
          <w:sz w:val="22"/>
        </w:rPr>
      </w:pPr>
    </w:p>
    <w:p w:rsidR="00027CAD" w:rsidRPr="00027CAD" w:rsidRDefault="00027CAD" w:rsidP="00027CAD">
      <w:pPr>
        <w:tabs>
          <w:tab w:val="left" w:pos="-2160"/>
          <w:tab w:val="left" w:pos="-1980"/>
          <w:tab w:val="left" w:pos="709"/>
        </w:tabs>
        <w:jc w:val="both"/>
        <w:rPr>
          <w:sz w:val="24"/>
          <w:szCs w:val="24"/>
        </w:rPr>
      </w:pPr>
      <w:bookmarkStart w:id="26" w:name="OLE_LINK3"/>
      <w:bookmarkEnd w:id="0"/>
      <w:r w:rsidRPr="00027CAD">
        <w:rPr>
          <w:sz w:val="24"/>
          <w:szCs w:val="24"/>
        </w:rPr>
        <w:t>Al 31 de marzo de 2016,</w:t>
      </w:r>
      <w:r w:rsidR="0080161B">
        <w:rPr>
          <w:sz w:val="24"/>
          <w:szCs w:val="24"/>
        </w:rPr>
        <w:t xml:space="preserve"> el Banco</w:t>
      </w:r>
      <w:r w:rsidRPr="00027CAD">
        <w:rPr>
          <w:sz w:val="24"/>
          <w:szCs w:val="24"/>
        </w:rPr>
        <w:t xml:space="preserve"> no ha dado inversiones en garantía y al 31 de marzo de 2015, eran $2,011.4.</w:t>
      </w:r>
    </w:p>
    <w:p w:rsidR="00027CAD" w:rsidRPr="00027CAD" w:rsidRDefault="00027CAD" w:rsidP="00027CAD">
      <w:pPr>
        <w:tabs>
          <w:tab w:val="left" w:pos="-2160"/>
          <w:tab w:val="left" w:pos="-1980"/>
          <w:tab w:val="left" w:pos="709"/>
        </w:tabs>
        <w:jc w:val="both"/>
        <w:rPr>
          <w:sz w:val="24"/>
          <w:szCs w:val="24"/>
        </w:rPr>
      </w:pPr>
    </w:p>
    <w:p w:rsidR="00027CAD" w:rsidRPr="00027CAD" w:rsidRDefault="00027CAD" w:rsidP="00027CAD">
      <w:pPr>
        <w:tabs>
          <w:tab w:val="left" w:pos="-2160"/>
          <w:tab w:val="left" w:pos="-1980"/>
          <w:tab w:val="left" w:pos="709"/>
        </w:tabs>
        <w:jc w:val="both"/>
        <w:rPr>
          <w:sz w:val="24"/>
          <w:szCs w:val="24"/>
        </w:rPr>
      </w:pPr>
      <w:r w:rsidRPr="00027CAD">
        <w:rPr>
          <w:sz w:val="24"/>
          <w:szCs w:val="24"/>
        </w:rPr>
        <w:t>No se ha creado provisión por posibles pérdidas para ambos períodos, por no existir riesgo en la clase de títulos que se tiene.</w:t>
      </w:r>
    </w:p>
    <w:p w:rsidR="00027CAD" w:rsidRPr="00027CAD" w:rsidRDefault="00027CAD" w:rsidP="00027CAD">
      <w:pPr>
        <w:tabs>
          <w:tab w:val="left" w:pos="-2160"/>
          <w:tab w:val="left" w:pos="-1980"/>
          <w:tab w:val="left" w:pos="709"/>
        </w:tabs>
        <w:jc w:val="both"/>
        <w:rPr>
          <w:sz w:val="24"/>
          <w:szCs w:val="24"/>
        </w:rPr>
      </w:pPr>
    </w:p>
    <w:p w:rsidR="00027CAD" w:rsidRPr="00027CAD" w:rsidRDefault="00027CAD" w:rsidP="00027CAD">
      <w:pPr>
        <w:tabs>
          <w:tab w:val="left" w:pos="-2160"/>
          <w:tab w:val="left" w:pos="-1980"/>
          <w:tab w:val="left" w:pos="709"/>
        </w:tabs>
        <w:jc w:val="both"/>
        <w:rPr>
          <w:sz w:val="24"/>
          <w:szCs w:val="24"/>
        </w:rPr>
      </w:pPr>
      <w:r w:rsidRPr="00027CAD">
        <w:rPr>
          <w:sz w:val="24"/>
          <w:szCs w:val="24"/>
        </w:rPr>
        <w:t>La tasa de rendimiento promedio para 2016 y 2015 es de 1.2%,  que  equivaldría  al  4.8% anual, para ambos periodos.</w:t>
      </w:r>
    </w:p>
    <w:p w:rsidR="00027CAD" w:rsidRPr="00027CAD" w:rsidRDefault="00027CAD" w:rsidP="00027CAD">
      <w:pPr>
        <w:tabs>
          <w:tab w:val="left" w:pos="-2160"/>
          <w:tab w:val="left" w:pos="-1980"/>
          <w:tab w:val="left" w:pos="709"/>
        </w:tabs>
        <w:jc w:val="both"/>
        <w:rPr>
          <w:sz w:val="24"/>
          <w:szCs w:val="24"/>
        </w:rPr>
      </w:pPr>
    </w:p>
    <w:p w:rsidR="006650FF" w:rsidRPr="00CF16D1" w:rsidRDefault="00027CAD" w:rsidP="00027CAD">
      <w:pPr>
        <w:tabs>
          <w:tab w:val="left" w:pos="-2160"/>
          <w:tab w:val="left" w:pos="-1980"/>
          <w:tab w:val="left" w:pos="709"/>
        </w:tabs>
        <w:jc w:val="both"/>
        <w:rPr>
          <w:color w:val="00B050"/>
          <w:sz w:val="24"/>
        </w:rPr>
      </w:pPr>
      <w:r w:rsidRPr="00027CAD">
        <w:rPr>
          <w:sz w:val="24"/>
          <w:szCs w:val="24"/>
        </w:rPr>
        <w:t>La tasa de rendimiento promedio es el porcentaje que resulta de dividir los ingresos (incluyendo intereses y comisiones) de la cartera de inversiones entre el saldo promedio de la cartera bruta de inversiones por el período reportado.</w:t>
      </w:r>
    </w:p>
    <w:p w:rsidR="001B1ED1" w:rsidRDefault="001B1ED1" w:rsidP="00C86B78">
      <w:pPr>
        <w:tabs>
          <w:tab w:val="left" w:pos="-2160"/>
          <w:tab w:val="left" w:pos="-1980"/>
          <w:tab w:val="left" w:pos="709"/>
        </w:tabs>
        <w:jc w:val="both"/>
        <w:rPr>
          <w:color w:val="00B050"/>
          <w:sz w:val="24"/>
        </w:rPr>
      </w:pPr>
    </w:p>
    <w:p w:rsidR="00027CAD" w:rsidRDefault="00027CAD" w:rsidP="00C86B78">
      <w:pPr>
        <w:tabs>
          <w:tab w:val="left" w:pos="-2160"/>
          <w:tab w:val="left" w:pos="-1980"/>
          <w:tab w:val="left" w:pos="709"/>
        </w:tabs>
        <w:jc w:val="both"/>
        <w:rPr>
          <w:color w:val="00B050"/>
          <w:sz w:val="24"/>
        </w:rPr>
      </w:pPr>
    </w:p>
    <w:p w:rsidR="00027CAD" w:rsidRDefault="00027CAD" w:rsidP="00C86B78">
      <w:pPr>
        <w:tabs>
          <w:tab w:val="left" w:pos="-2160"/>
          <w:tab w:val="left" w:pos="-1980"/>
          <w:tab w:val="left" w:pos="709"/>
        </w:tabs>
        <w:jc w:val="both"/>
        <w:rPr>
          <w:color w:val="00B050"/>
          <w:sz w:val="24"/>
        </w:rPr>
      </w:pPr>
    </w:p>
    <w:p w:rsidR="00027CAD" w:rsidRDefault="00027CAD" w:rsidP="00C86B78">
      <w:pPr>
        <w:tabs>
          <w:tab w:val="left" w:pos="-2160"/>
          <w:tab w:val="left" w:pos="-1980"/>
          <w:tab w:val="left" w:pos="709"/>
        </w:tabs>
        <w:jc w:val="both"/>
        <w:rPr>
          <w:color w:val="00B050"/>
          <w:sz w:val="24"/>
        </w:rPr>
      </w:pPr>
    </w:p>
    <w:p w:rsidR="0067285E" w:rsidRDefault="0067285E" w:rsidP="00C86B78">
      <w:pPr>
        <w:tabs>
          <w:tab w:val="left" w:pos="-2160"/>
          <w:tab w:val="left" w:pos="-1980"/>
          <w:tab w:val="left" w:pos="709"/>
        </w:tabs>
        <w:jc w:val="both"/>
        <w:rPr>
          <w:color w:val="00B050"/>
          <w:sz w:val="24"/>
        </w:rPr>
      </w:pPr>
    </w:p>
    <w:p w:rsidR="00027CAD" w:rsidRPr="00CF16D1" w:rsidRDefault="00027CAD" w:rsidP="00C86B78">
      <w:pPr>
        <w:tabs>
          <w:tab w:val="left" w:pos="-2160"/>
          <w:tab w:val="left" w:pos="-1980"/>
          <w:tab w:val="left" w:pos="709"/>
        </w:tabs>
        <w:jc w:val="both"/>
        <w:rPr>
          <w:color w:val="00B050"/>
          <w:sz w:val="24"/>
        </w:rPr>
      </w:pPr>
    </w:p>
    <w:p w:rsidR="000E0885" w:rsidRPr="00FE78FF" w:rsidRDefault="00A36C96">
      <w:pPr>
        <w:pStyle w:val="Textoindependiente"/>
        <w:numPr>
          <w:ilvl w:val="0"/>
          <w:numId w:val="6"/>
        </w:numPr>
        <w:tabs>
          <w:tab w:val="clear" w:pos="720"/>
          <w:tab w:val="clear" w:pos="1296"/>
          <w:tab w:val="clear" w:pos="2016"/>
          <w:tab w:val="left" w:pos="-2160"/>
          <w:tab w:val="left" w:pos="-1980"/>
        </w:tabs>
        <w:jc w:val="both"/>
        <w:rPr>
          <w:rFonts w:ascii="Times New Roman" w:hAnsi="Times New Roman"/>
        </w:rPr>
      </w:pPr>
      <w:hyperlink r:id="rId11" w:history="1">
        <w:r w:rsidR="000E0885" w:rsidRPr="00FE78FF">
          <w:rPr>
            <w:rStyle w:val="Hipervnculo"/>
            <w:rFonts w:ascii="Times New Roman" w:hAnsi="Times New Roman"/>
            <w:color w:val="auto"/>
            <w:u w:val="none"/>
          </w:rPr>
          <w:t>PRÉSTAMOS Y CONTINGENCIAS Y SUS PROVISIONES</w:t>
        </w:r>
      </w:hyperlink>
    </w:p>
    <w:p w:rsidR="00E773CA" w:rsidRPr="00FE78FF" w:rsidRDefault="00E773CA" w:rsidP="00E773CA">
      <w:pPr>
        <w:jc w:val="both"/>
      </w:pPr>
      <w:bookmarkStart w:id="27" w:name="OLE_LINK48"/>
      <w:bookmarkStart w:id="28" w:name="OLE_LINK7"/>
      <w:bookmarkEnd w:id="26"/>
    </w:p>
    <w:bookmarkStart w:id="29" w:name="_MON_1324714164"/>
    <w:bookmarkStart w:id="30" w:name="_MON_1325336548"/>
    <w:bookmarkStart w:id="31" w:name="_MON_1329545144"/>
    <w:bookmarkStart w:id="32" w:name="_MON_1332159915"/>
    <w:bookmarkStart w:id="33" w:name="_MON_1332573490"/>
    <w:bookmarkStart w:id="34" w:name="_MON_1332573504"/>
    <w:bookmarkStart w:id="35" w:name="_MON_1338010368"/>
    <w:bookmarkStart w:id="36" w:name="_MON_1338012686"/>
    <w:bookmarkStart w:id="37" w:name="_MON_1339827516"/>
    <w:bookmarkStart w:id="38" w:name="_MON_1340550625"/>
    <w:bookmarkStart w:id="39" w:name="_MON_1340616973"/>
    <w:bookmarkStart w:id="40" w:name="_MON_1340617350"/>
    <w:bookmarkStart w:id="41" w:name="_MON_1345899085"/>
    <w:bookmarkStart w:id="42" w:name="_MON_1347878672"/>
    <w:bookmarkStart w:id="43" w:name="_MON_1347951568"/>
    <w:bookmarkStart w:id="44" w:name="_MON_1356163208"/>
    <w:bookmarkStart w:id="45" w:name="_MON_1356509147"/>
    <w:bookmarkStart w:id="46" w:name="_MON_1356766062"/>
    <w:bookmarkStart w:id="47" w:name="_MON_1361007392"/>
    <w:bookmarkStart w:id="48" w:name="_MON_1361007567"/>
    <w:bookmarkStart w:id="49" w:name="_MON_1363682390"/>
    <w:bookmarkStart w:id="50" w:name="_MON_1371387133"/>
    <w:bookmarkStart w:id="51" w:name="_MON_1371465967"/>
    <w:bookmarkStart w:id="52" w:name="_MON_1376902542"/>
    <w:bookmarkStart w:id="53" w:name="_MON_1379408347"/>
    <w:bookmarkStart w:id="54" w:name="_MON_1410865748"/>
    <w:bookmarkStart w:id="55" w:name="_MON_1410865771"/>
    <w:bookmarkStart w:id="56" w:name="_MON_1410866044"/>
    <w:bookmarkStart w:id="57" w:name="_MON_1410951850"/>
    <w:bookmarkStart w:id="58" w:name="_MON_1419249762"/>
    <w:bookmarkStart w:id="59" w:name="_MON_1419677066"/>
    <w:bookmarkStart w:id="60" w:name="_MON_1419750473"/>
    <w:bookmarkStart w:id="61" w:name="_MON_1419849575"/>
    <w:bookmarkStart w:id="62" w:name="_MON_1424523162"/>
    <w:bookmarkStart w:id="63" w:name="_MON_1424583796"/>
    <w:bookmarkStart w:id="64" w:name="_MON_1426676229"/>
    <w:bookmarkStart w:id="65" w:name="_MON_1432385335"/>
    <w:bookmarkStart w:id="66" w:name="_MON_1434788893"/>
    <w:bookmarkStart w:id="67" w:name="_MON_1440829131"/>
    <w:bookmarkStart w:id="68" w:name="_MON_1440830339"/>
    <w:bookmarkStart w:id="69" w:name="_MON_1441104449"/>
    <w:bookmarkStart w:id="70" w:name="_MON_1442649422"/>
    <w:bookmarkStart w:id="71" w:name="_MON_1442822649"/>
    <w:bookmarkStart w:id="72" w:name="_MON_1450526030"/>
    <w:bookmarkStart w:id="73" w:name="_MON_1451285581"/>
    <w:bookmarkStart w:id="74" w:name="_MON_1454763214"/>
    <w:bookmarkStart w:id="75" w:name="_MON_1454844736"/>
    <w:bookmarkStart w:id="76" w:name="_MON_1458390276"/>
    <w:bookmarkStart w:id="77" w:name="_MON_1458465834"/>
    <w:bookmarkStart w:id="78" w:name="_MON_1459773372"/>
    <w:bookmarkStart w:id="79" w:name="_MON_1459773611"/>
    <w:bookmarkStart w:id="80" w:name="_MON_1459773740"/>
    <w:bookmarkStart w:id="81" w:name="_MON_1459773777"/>
    <w:bookmarkStart w:id="82" w:name="_MON_1459773994"/>
    <w:bookmarkStart w:id="83" w:name="_MON_1459774036"/>
    <w:bookmarkStart w:id="84" w:name="_MON_1459774184"/>
    <w:bookmarkStart w:id="85" w:name="_MON_1459774355"/>
    <w:bookmarkStart w:id="86" w:name="_MON_1459774395"/>
    <w:bookmarkStart w:id="87" w:name="_MON_1459774446"/>
    <w:bookmarkStart w:id="88" w:name="_MON_1459774484"/>
    <w:bookmarkStart w:id="89" w:name="_MON_1459774851"/>
    <w:bookmarkStart w:id="90" w:name="_MON_1459774967"/>
    <w:bookmarkStart w:id="91" w:name="_MON_1464604757"/>
    <w:bookmarkStart w:id="92" w:name="_MON_1466319324"/>
    <w:bookmarkStart w:id="93" w:name="_MON_1466336330"/>
    <w:bookmarkStart w:id="94" w:name="_MON_1471675806"/>
    <w:bookmarkStart w:id="95" w:name="_MON_1080462059"/>
    <w:bookmarkStart w:id="96" w:name="_MON_1080462114"/>
    <w:bookmarkStart w:id="97" w:name="_MON_1080462565"/>
    <w:bookmarkStart w:id="98" w:name="_MON_1080462643"/>
    <w:bookmarkStart w:id="99" w:name="_MON_1080562720"/>
    <w:bookmarkStart w:id="100" w:name="_MON_1080571451"/>
    <w:bookmarkStart w:id="101" w:name="_MON_1080571580"/>
    <w:bookmarkStart w:id="102" w:name="_MON_1080635464"/>
    <w:bookmarkStart w:id="103" w:name="_MON_1087991350"/>
    <w:bookmarkStart w:id="104" w:name="_MON_1087992339"/>
    <w:bookmarkStart w:id="105" w:name="_MON_1088342603"/>
    <w:bookmarkStart w:id="106" w:name="_MON_1088342624"/>
    <w:bookmarkStart w:id="107" w:name="_MON_1094900411"/>
    <w:bookmarkStart w:id="108" w:name="_MON_1095750070"/>
    <w:bookmarkStart w:id="109" w:name="_MON_1095754732"/>
    <w:bookmarkStart w:id="110" w:name="_MON_1095934134"/>
    <w:bookmarkStart w:id="111" w:name="_MON_1095934232"/>
    <w:bookmarkStart w:id="112" w:name="_MON_1095934469"/>
    <w:bookmarkStart w:id="113" w:name="_MON_1095934929"/>
    <w:bookmarkStart w:id="114" w:name="_MON_1095934960"/>
    <w:bookmarkStart w:id="115" w:name="_MON_1095935006"/>
    <w:bookmarkStart w:id="116" w:name="_MON_1095935261"/>
    <w:bookmarkStart w:id="117" w:name="_MON_1095935307"/>
    <w:bookmarkStart w:id="118" w:name="_MON_1095935635"/>
    <w:bookmarkStart w:id="119" w:name="_MON_1095936208"/>
    <w:bookmarkStart w:id="120" w:name="_MON_1096120105"/>
    <w:bookmarkStart w:id="121" w:name="_MON_1097305837"/>
    <w:bookmarkStart w:id="122" w:name="_MON_1105528367"/>
    <w:bookmarkStart w:id="123" w:name="_MON_1105528427"/>
    <w:bookmarkStart w:id="124" w:name="_MON_1110958382"/>
    <w:bookmarkStart w:id="125" w:name="_MON_1111822787"/>
    <w:bookmarkStart w:id="126" w:name="_MON_1111823140"/>
    <w:bookmarkStart w:id="127" w:name="_MON_1111852162"/>
    <w:bookmarkStart w:id="128" w:name="_MON_1111852198"/>
    <w:bookmarkStart w:id="129" w:name="_MON_1111921662"/>
    <w:bookmarkStart w:id="130" w:name="_MON_1119461899"/>
    <w:bookmarkStart w:id="131" w:name="_MON_1119464107"/>
    <w:bookmarkStart w:id="132" w:name="_MON_1119711777"/>
    <w:bookmarkStart w:id="133" w:name="_MON_1119872020"/>
    <w:bookmarkStart w:id="134" w:name="_MON_1119883135"/>
    <w:bookmarkStart w:id="135" w:name="_MON_1119883162"/>
    <w:bookmarkStart w:id="136" w:name="_MON_1119883177"/>
    <w:bookmarkStart w:id="137" w:name="_MON_1119883227"/>
    <w:bookmarkStart w:id="138" w:name="_MON_1119889477"/>
    <w:bookmarkStart w:id="139" w:name="_MON_1119948814"/>
    <w:bookmarkStart w:id="140" w:name="_MON_1119948876"/>
    <w:bookmarkStart w:id="141" w:name="_MON_1119948926"/>
    <w:bookmarkStart w:id="142" w:name="_MON_1120027805"/>
    <w:bookmarkStart w:id="143" w:name="_MON_1120034179"/>
    <w:bookmarkStart w:id="144" w:name="_MON_1127898715"/>
    <w:bookmarkStart w:id="145" w:name="_MON_1127898806"/>
    <w:bookmarkStart w:id="146" w:name="_MON_1127898885"/>
    <w:bookmarkStart w:id="147" w:name="_MON_1127911683"/>
    <w:bookmarkStart w:id="148" w:name="_MON_1128253030"/>
    <w:bookmarkStart w:id="149" w:name="_MON_1128257225"/>
    <w:bookmarkStart w:id="150" w:name="_MON_1137927942"/>
    <w:bookmarkStart w:id="151" w:name="_MON_1143360232"/>
    <w:bookmarkStart w:id="152" w:name="_MON_1144052900"/>
    <w:bookmarkStart w:id="153" w:name="_MON_1159346153"/>
    <w:bookmarkStart w:id="154" w:name="_MON_1144216828"/>
    <w:bookmarkStart w:id="155" w:name="_MON_1151759588"/>
    <w:bookmarkStart w:id="156" w:name="_MON_1151823374"/>
    <w:bookmarkStart w:id="157" w:name="_MON_1151939912"/>
    <w:bookmarkStart w:id="158" w:name="_MON_1152028728"/>
    <w:bookmarkStart w:id="159" w:name="_MON_1152030335"/>
    <w:bookmarkStart w:id="160" w:name="_MON_1159690949"/>
    <w:bookmarkStart w:id="161" w:name="_MON_1159693242"/>
    <w:bookmarkStart w:id="162" w:name="_MON_1159693352"/>
    <w:bookmarkStart w:id="163" w:name="_MON_1176024378"/>
    <w:bookmarkStart w:id="164" w:name="_MON_1214401423"/>
    <w:bookmarkStart w:id="165" w:name="_MON_1276938249"/>
    <w:bookmarkStart w:id="166" w:name="_MON_1284283738"/>
    <w:bookmarkStart w:id="167" w:name="_MON_1284790739"/>
    <w:bookmarkStart w:id="168" w:name="_MON_1284891660"/>
    <w:bookmarkStart w:id="169" w:name="_MON_1284891863"/>
    <w:bookmarkStart w:id="170" w:name="_MON_1284969091"/>
    <w:bookmarkStart w:id="171" w:name="_MON_1299500904"/>
    <w:bookmarkStart w:id="172" w:name="_MON_1300525737"/>
    <w:bookmarkStart w:id="173" w:name="_MON_1301137390"/>
    <w:bookmarkStart w:id="174" w:name="_MON_1301203185"/>
    <w:bookmarkStart w:id="175" w:name="_MON_1308413712"/>
    <w:bookmarkStart w:id="176" w:name="_MON_1309966947"/>
    <w:bookmarkStart w:id="177" w:name="_MON_1316440584"/>
    <w:bookmarkStart w:id="178" w:name="OLE_LINK2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Start w:id="179" w:name="_MON_1317305350"/>
    <w:bookmarkEnd w:id="179"/>
    <w:p w:rsidR="00E773CA" w:rsidRPr="00D00BAF" w:rsidRDefault="0090226D" w:rsidP="00E773CA">
      <w:r w:rsidRPr="007C12E1">
        <w:object w:dxaOrig="6283" w:dyaOrig="1633">
          <v:shape id="_x0000_i1026" type="#_x0000_t75" style="width:425.5pt;height:111pt" o:ole="" fillcolor="window">
            <v:imagedata r:id="rId12" o:title=""/>
          </v:shape>
          <o:OLEObject Type="Embed" ProgID="Excel.Sheet.8" ShapeID="_x0000_i1026" DrawAspect="Content" ObjectID="_1523254128" r:id="rId13"/>
        </w:object>
      </w:r>
      <w:bookmarkEnd w:id="178"/>
    </w:p>
    <w:p w:rsidR="00E773CA" w:rsidRPr="00D00BAF" w:rsidRDefault="00E773CA" w:rsidP="00E773CA">
      <w:pPr>
        <w:tabs>
          <w:tab w:val="left" w:pos="-2160"/>
          <w:tab w:val="left" w:pos="-1980"/>
          <w:tab w:val="left" w:pos="708"/>
        </w:tabs>
        <w:jc w:val="both"/>
      </w:pPr>
    </w:p>
    <w:p w:rsidR="00E773CA" w:rsidRPr="00D00BAF" w:rsidRDefault="00E773CA" w:rsidP="00E773CA">
      <w:pPr>
        <w:tabs>
          <w:tab w:val="left" w:pos="-2160"/>
          <w:tab w:val="left" w:pos="-1980"/>
          <w:tab w:val="left" w:pos="708"/>
        </w:tabs>
        <w:jc w:val="both"/>
        <w:rPr>
          <w:sz w:val="24"/>
        </w:rPr>
      </w:pPr>
      <w:r w:rsidRPr="00D00BAF">
        <w:rPr>
          <w:sz w:val="24"/>
        </w:rPr>
        <w:t>El movimiento de las provisiones en el período reportado es:</w:t>
      </w:r>
    </w:p>
    <w:p w:rsidR="00E773CA" w:rsidRPr="00D00BAF" w:rsidRDefault="00E773CA" w:rsidP="00E773CA">
      <w:pPr>
        <w:tabs>
          <w:tab w:val="left" w:pos="-2160"/>
          <w:tab w:val="left" w:pos="-1980"/>
          <w:tab w:val="left" w:pos="708"/>
        </w:tabs>
        <w:jc w:val="both"/>
      </w:pPr>
    </w:p>
    <w:bookmarkStart w:id="180" w:name="_MON_1419677442"/>
    <w:bookmarkStart w:id="181" w:name="_MON_1419849600"/>
    <w:bookmarkStart w:id="182" w:name="_MON_1424523190"/>
    <w:bookmarkStart w:id="183" w:name="_MON_1424583860"/>
    <w:bookmarkStart w:id="184" w:name="_MON_1426676304"/>
    <w:bookmarkStart w:id="185" w:name="_MON_1432385431"/>
    <w:bookmarkStart w:id="186" w:name="_MON_1434788941"/>
    <w:bookmarkStart w:id="187" w:name="_MON_1440829142"/>
    <w:bookmarkStart w:id="188" w:name="_MON_1442649495"/>
    <w:bookmarkStart w:id="189" w:name="_MON_1443356246"/>
    <w:bookmarkStart w:id="190" w:name="_MON_1450525713"/>
    <w:bookmarkStart w:id="191" w:name="_MON_1451285667"/>
    <w:bookmarkStart w:id="192" w:name="_MON_1451456553"/>
    <w:bookmarkStart w:id="193" w:name="_MON_1454763235"/>
    <w:bookmarkStart w:id="194" w:name="_MON_1454844789"/>
    <w:bookmarkStart w:id="195" w:name="_MON_1458390347"/>
    <w:bookmarkStart w:id="196" w:name="_MON_1458465883"/>
    <w:bookmarkStart w:id="197" w:name="_MON_1464604827"/>
    <w:bookmarkStart w:id="198" w:name="_MON_1466319466"/>
    <w:bookmarkStart w:id="199" w:name="_MON_1466320952"/>
    <w:bookmarkStart w:id="200" w:name="_MON_1471675944"/>
    <w:bookmarkStart w:id="201" w:name="_MON_1111822761"/>
    <w:bookmarkStart w:id="202" w:name="_MON_1111823501"/>
    <w:bookmarkStart w:id="203" w:name="_MON_1111852236"/>
    <w:bookmarkStart w:id="204" w:name="_MON_1111852281"/>
    <w:bookmarkStart w:id="205" w:name="_MON_1111852322"/>
    <w:bookmarkStart w:id="206" w:name="_MON_1111852333"/>
    <w:bookmarkStart w:id="207" w:name="_MON_1111852609"/>
    <w:bookmarkStart w:id="208" w:name="_MON_1111852662"/>
    <w:bookmarkStart w:id="209" w:name="_MON_1111852796"/>
    <w:bookmarkStart w:id="210" w:name="_MON_1111852824"/>
    <w:bookmarkStart w:id="211" w:name="_MON_1111921769"/>
    <w:bookmarkStart w:id="212" w:name="_MON_1112461581"/>
    <w:bookmarkStart w:id="213" w:name="_MON_1112506897"/>
    <w:bookmarkStart w:id="214" w:name="_MON_1112595736"/>
    <w:bookmarkStart w:id="215" w:name="_MON_1119522234"/>
    <w:bookmarkStart w:id="216" w:name="_MON_1119522299"/>
    <w:bookmarkStart w:id="217" w:name="_MON_1119522355"/>
    <w:bookmarkStart w:id="218" w:name="_MON_1119525466"/>
    <w:bookmarkStart w:id="219" w:name="_MON_1119525549"/>
    <w:bookmarkStart w:id="220" w:name="_MON_1127055067"/>
    <w:bookmarkStart w:id="221" w:name="_MON_1135417081"/>
    <w:bookmarkStart w:id="222" w:name="_MON_1136885808"/>
    <w:bookmarkStart w:id="223" w:name="_MON_1143357743"/>
    <w:bookmarkStart w:id="224" w:name="_MON_1144659924"/>
    <w:bookmarkStart w:id="225" w:name="_MON_1144660053"/>
    <w:bookmarkStart w:id="226" w:name="_MON_1144660239"/>
    <w:bookmarkStart w:id="227" w:name="_MON_1144660429"/>
    <w:bookmarkStart w:id="228" w:name="_MON_1144660757"/>
    <w:bookmarkStart w:id="229" w:name="_MON_1144660872"/>
    <w:bookmarkStart w:id="230" w:name="_MON_1151498267"/>
    <w:bookmarkStart w:id="231" w:name="_MON_1151575438"/>
    <w:bookmarkStart w:id="232" w:name="_MON_1151820775"/>
    <w:bookmarkStart w:id="233" w:name="_MON_1159169519"/>
    <w:bookmarkStart w:id="234" w:name="_MON_1213711937"/>
    <w:bookmarkStart w:id="235" w:name="_MON_1232439640"/>
    <w:bookmarkStart w:id="236" w:name="_MON_1276931671"/>
    <w:bookmarkStart w:id="237" w:name="_MON_1283929676"/>
    <w:bookmarkStart w:id="238" w:name="_MON_1284790397"/>
    <w:bookmarkStart w:id="239" w:name="_MON_1299501101"/>
    <w:bookmarkStart w:id="240" w:name="_MON_1300525821"/>
    <w:bookmarkStart w:id="241" w:name="_MON_1301203226"/>
    <w:bookmarkStart w:id="242" w:name="_MON_1308472196"/>
    <w:bookmarkStart w:id="243" w:name="_MON_1363680437"/>
    <w:bookmarkStart w:id="244" w:name="_MON_1316440653"/>
    <w:bookmarkStart w:id="245" w:name="_MON_1316524692"/>
    <w:bookmarkStart w:id="246" w:name="_MON_1317305447"/>
    <w:bookmarkStart w:id="247" w:name="_MON_1324714296"/>
    <w:bookmarkStart w:id="248" w:name="_MON_1329545240"/>
    <w:bookmarkStart w:id="249" w:name="_MON_1329545400"/>
    <w:bookmarkStart w:id="250" w:name="_MON_1332159961"/>
    <w:bookmarkStart w:id="251" w:name="_MON_1338010567"/>
    <w:bookmarkStart w:id="252" w:name="_MON_1339827565"/>
    <w:bookmarkStart w:id="253" w:name="_MON_1340550894"/>
    <w:bookmarkStart w:id="254" w:name="_MON_1340550957"/>
    <w:bookmarkStart w:id="255" w:name="_MON_1345899146"/>
    <w:bookmarkStart w:id="256" w:name="_MON_1347878885"/>
    <w:bookmarkStart w:id="257" w:name="_MON_1356163310"/>
    <w:bookmarkStart w:id="258" w:name="_MON_1356509238"/>
    <w:bookmarkStart w:id="259" w:name="_MON_1361007482"/>
    <w:bookmarkStart w:id="260" w:name="_MON_1361007579"/>
    <w:bookmarkStart w:id="261" w:name="_MON_1379413390"/>
    <w:bookmarkStart w:id="262" w:name="_MON_1371386447"/>
    <w:bookmarkStart w:id="263" w:name="_MON_1371387180"/>
    <w:bookmarkStart w:id="264" w:name="_MON_1371466060"/>
    <w:bookmarkStart w:id="265" w:name="_MON_1371557126"/>
    <w:bookmarkStart w:id="266" w:name="_MON_1376902603"/>
    <w:bookmarkStart w:id="267" w:name="_MON_1379408397"/>
    <w:bookmarkStart w:id="268" w:name="_MON_1380437581"/>
    <w:bookmarkStart w:id="269" w:name="_MON_1381048163"/>
    <w:bookmarkStart w:id="270" w:name="_MON_1387356042"/>
    <w:bookmarkStart w:id="271" w:name="_MON_1387708746"/>
    <w:bookmarkStart w:id="272" w:name="_MON_1387708779"/>
    <w:bookmarkStart w:id="273" w:name="_MON_1393143697"/>
    <w:bookmarkStart w:id="274" w:name="_MON_1393308926"/>
    <w:bookmarkStart w:id="275" w:name="_MON_1395473398"/>
    <w:bookmarkStart w:id="276" w:name="_MON_1395483449"/>
    <w:bookmarkStart w:id="277" w:name="_MON_1395818064"/>
    <w:bookmarkStart w:id="278" w:name="_MON_1396441295"/>
    <w:bookmarkStart w:id="279" w:name="_MON_1396441324"/>
    <w:bookmarkStart w:id="280" w:name="_MON_1401520836"/>
    <w:bookmarkStart w:id="281" w:name="_MON_1403004991"/>
    <w:bookmarkStart w:id="282" w:name="_MON_1403076192"/>
    <w:bookmarkStart w:id="283" w:name="_MON_1408785923"/>
    <w:bookmarkStart w:id="284" w:name="_MON_1410865636"/>
    <w:bookmarkStart w:id="285" w:name="_MON_141095189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Start w:id="286" w:name="_MON_1419250019"/>
    <w:bookmarkEnd w:id="286"/>
    <w:p w:rsidR="00E773CA" w:rsidRPr="00D00BAF" w:rsidRDefault="00B04FAC" w:rsidP="00E773CA">
      <w:pPr>
        <w:tabs>
          <w:tab w:val="left" w:pos="-2160"/>
          <w:tab w:val="left" w:pos="-1980"/>
          <w:tab w:val="left" w:pos="708"/>
        </w:tabs>
        <w:jc w:val="both"/>
      </w:pPr>
      <w:r w:rsidRPr="007C12E1">
        <w:object w:dxaOrig="7341" w:dyaOrig="1503">
          <v:shape id="_x0000_i1027" type="#_x0000_t75" style="width:424.5pt;height:89pt" o:ole="" fillcolor="window">
            <v:imagedata r:id="rId14" o:title=""/>
          </v:shape>
          <o:OLEObject Type="Embed" ProgID="Excel.Sheet.8" ShapeID="_x0000_i1027" DrawAspect="Content" ObjectID="_1523254129" r:id="rId15"/>
        </w:object>
      </w:r>
    </w:p>
    <w:p w:rsidR="00E773CA" w:rsidRPr="00D00BAF" w:rsidRDefault="00E773CA" w:rsidP="00E773CA">
      <w:pPr>
        <w:tabs>
          <w:tab w:val="left" w:pos="-2160"/>
          <w:tab w:val="left" w:pos="-1980"/>
          <w:tab w:val="left" w:pos="708"/>
        </w:tabs>
        <w:jc w:val="both"/>
      </w:pPr>
    </w:p>
    <w:bookmarkStart w:id="287" w:name="_MON_1410865673"/>
    <w:bookmarkStart w:id="288" w:name="_MON_1410951936"/>
    <w:bookmarkStart w:id="289" w:name="_MON_1419250079"/>
    <w:bookmarkStart w:id="290" w:name="_MON_1419677464"/>
    <w:bookmarkStart w:id="291" w:name="_MON_1424523248"/>
    <w:bookmarkStart w:id="292" w:name="_MON_1424583877"/>
    <w:bookmarkStart w:id="293" w:name="_MON_1426676370"/>
    <w:bookmarkStart w:id="294" w:name="_MON_1432385458"/>
    <w:bookmarkStart w:id="295" w:name="_MON_1440829162"/>
    <w:bookmarkStart w:id="296" w:name="_MON_1440830393"/>
    <w:bookmarkStart w:id="297" w:name="_MON_1441104503"/>
    <w:bookmarkStart w:id="298" w:name="_MON_1442649534"/>
    <w:bookmarkStart w:id="299" w:name="_MON_1443356268"/>
    <w:bookmarkStart w:id="300" w:name="_MON_1450525627"/>
    <w:bookmarkStart w:id="301" w:name="_MON_1450526086"/>
    <w:bookmarkStart w:id="302" w:name="_MON_1451285714"/>
    <w:bookmarkStart w:id="303" w:name="_MON_1454763269"/>
    <w:bookmarkStart w:id="304" w:name="_MON_1454844795"/>
    <w:bookmarkStart w:id="305" w:name="_MON_1458390435"/>
    <w:bookmarkStart w:id="306" w:name="_MON_1458465942"/>
    <w:bookmarkStart w:id="307" w:name="_MON_1464604858"/>
    <w:bookmarkStart w:id="308" w:name="_MON_1466319733"/>
    <w:bookmarkStart w:id="309" w:name="_MON_1471675977"/>
    <w:bookmarkStart w:id="310" w:name="_MON_1299501187"/>
    <w:bookmarkStart w:id="311" w:name="_MON_1300525873"/>
    <w:bookmarkStart w:id="312" w:name="_MON_1308472257"/>
    <w:bookmarkStart w:id="313" w:name="_MON_1308473221"/>
    <w:bookmarkStart w:id="314" w:name="_MON_1475061042"/>
    <w:bookmarkStart w:id="315" w:name="_MON_1347878926"/>
    <w:bookmarkStart w:id="316" w:name="_MON_1317305391"/>
    <w:bookmarkStart w:id="317" w:name="_MON_1329545276"/>
    <w:bookmarkStart w:id="318" w:name="_MON_1329545367"/>
    <w:bookmarkStart w:id="319" w:name="_MON_1338010641"/>
    <w:bookmarkStart w:id="320" w:name="_MON_1340550947"/>
    <w:bookmarkStart w:id="321" w:name="_MON_1345899175"/>
    <w:bookmarkStart w:id="322" w:name="_MON_1356163352"/>
    <w:bookmarkStart w:id="323" w:name="_MON_1356509302"/>
    <w:bookmarkStart w:id="324" w:name="_MON_1363682670"/>
    <w:bookmarkStart w:id="325" w:name="_MON_1371386478"/>
    <w:bookmarkStart w:id="326" w:name="_MON_1371387194"/>
    <w:bookmarkStart w:id="327" w:name="_MON_1371466101"/>
    <w:bookmarkStart w:id="328" w:name="_MON_1376902631"/>
    <w:bookmarkStart w:id="329" w:name="_MON_1381048201"/>
    <w:bookmarkStart w:id="330" w:name="_MON_1382859473"/>
    <w:bookmarkStart w:id="331" w:name="_MON_1387356091"/>
    <w:bookmarkStart w:id="332" w:name="_MON_1387362958"/>
    <w:bookmarkStart w:id="333" w:name="_MON_1393143737"/>
    <w:bookmarkStart w:id="334" w:name="_MON_1393308952"/>
    <w:bookmarkStart w:id="335" w:name="_MON_1395473453"/>
    <w:bookmarkStart w:id="336" w:name="_MON_1395818137"/>
    <w:bookmarkStart w:id="337" w:name="_MON_1396441328"/>
    <w:bookmarkStart w:id="338" w:name="_MON_1401520846"/>
    <w:bookmarkStart w:id="339" w:name="_MON_1403005037"/>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0" w:name="_MON_1408785948"/>
    <w:bookmarkEnd w:id="340"/>
    <w:p w:rsidR="00E773CA" w:rsidRPr="00D00BAF" w:rsidRDefault="00A9714E" w:rsidP="00E773CA">
      <w:pPr>
        <w:tabs>
          <w:tab w:val="left" w:pos="-2160"/>
          <w:tab w:val="left" w:pos="-1980"/>
          <w:tab w:val="left" w:pos="708"/>
        </w:tabs>
        <w:jc w:val="both"/>
      </w:pPr>
      <w:r w:rsidRPr="007C12E1">
        <w:rPr>
          <w:sz w:val="24"/>
        </w:rPr>
        <w:object w:dxaOrig="7480" w:dyaOrig="1547">
          <v:shape id="_x0000_i1028" type="#_x0000_t75" style="width:429.5pt;height:89.5pt" o:ole="" fillcolor="window">
            <v:imagedata r:id="rId16" o:title=""/>
          </v:shape>
          <o:OLEObject Type="Embed" ProgID="Excel.Sheet.8" ShapeID="_x0000_i1028" DrawAspect="Content" ObjectID="_1523254130" r:id="rId17"/>
        </w:object>
      </w:r>
    </w:p>
    <w:p w:rsidR="00E773CA" w:rsidRPr="00D00BAF" w:rsidRDefault="00E773CA" w:rsidP="00E773CA">
      <w:pPr>
        <w:tabs>
          <w:tab w:val="left" w:pos="-2160"/>
          <w:tab w:val="left" w:pos="-1980"/>
          <w:tab w:val="left" w:pos="708"/>
        </w:tabs>
        <w:jc w:val="both"/>
        <w:rPr>
          <w:sz w:val="24"/>
        </w:rPr>
      </w:pPr>
    </w:p>
    <w:p w:rsidR="004F0C68" w:rsidRDefault="004F0C68" w:rsidP="004F0C68">
      <w:r>
        <w:t>Al 31/03/16, las Reservas Voluntarias son de $ 828.5 y al 31/03/15, eran de $1,817.0</w:t>
      </w:r>
      <w:r w:rsidR="00027CAD">
        <w:t>.</w:t>
      </w:r>
    </w:p>
    <w:p w:rsidR="004F0C68" w:rsidRDefault="004F0C68" w:rsidP="004F0C68"/>
    <w:p w:rsidR="004F0C68" w:rsidRDefault="004F0C68" w:rsidP="004F0C68">
      <w:r>
        <w:t>Las  reservas de saneamiento por "Contingencias" se presentan en el rubro de Otros Pasivos "Diversos".</w:t>
      </w:r>
    </w:p>
    <w:p w:rsidR="004F0C68" w:rsidRDefault="004F0C68" w:rsidP="004F0C68"/>
    <w:p w:rsidR="004F0C68" w:rsidRDefault="004F0C68" w:rsidP="004F0C68">
      <w:r>
        <w:t>La tasa de cobertura fue de 5.</w:t>
      </w:r>
      <w:r w:rsidR="00B04FAC">
        <w:t>4</w:t>
      </w:r>
      <w:r>
        <w:t>%, para 2016 y  5.3% para 2015.</w:t>
      </w:r>
    </w:p>
    <w:p w:rsidR="004F0C68" w:rsidRDefault="004F0C68" w:rsidP="004F0C68"/>
    <w:p w:rsidR="004F0C68" w:rsidRDefault="004F0C68" w:rsidP="004F0C68">
      <w:r>
        <w:t>La tasa de cobertura es el cociente expresado en porcentaje, que resulta de dividir el monto de las provisiones entre el monto del activo.</w:t>
      </w:r>
    </w:p>
    <w:p w:rsidR="004F0C68" w:rsidRDefault="004F0C68" w:rsidP="004F0C68"/>
    <w:p w:rsidR="004F0C68" w:rsidRDefault="004F0C68" w:rsidP="004F0C68">
      <w:r>
        <w:t>La tasa de rendimiento promedio al 31/03/16 y al 31/03/15 fue del 3.2% y 3.3% que equivaldría al 12.8 % y 13.2 %,  respectivamente.</w:t>
      </w:r>
    </w:p>
    <w:p w:rsidR="004F0C68" w:rsidRDefault="004F0C68" w:rsidP="004F0C68"/>
    <w:p w:rsidR="004F0C68" w:rsidRDefault="004F0C68" w:rsidP="004F0C68">
      <w:r>
        <w:t>La tasa de rendimiento promedio es el porcentaje que resulta de dividir los ingresos de la cartera de préstamos (incluidos los intereses y comisiones), entre el saldo promedio de la cartera bruta de préstamos por el período reportado.</w:t>
      </w:r>
    </w:p>
    <w:p w:rsidR="004F0C68" w:rsidRDefault="004F0C68" w:rsidP="004F0C68"/>
    <w:p w:rsidR="004F0C68" w:rsidRDefault="004F0C68" w:rsidP="004F0C68">
      <w:r>
        <w:t>Los préstamos con tasa de interés ajustable al 31 de marzo de 2016 y 2015, representan el 100.0 % de la cartera de préstamos.</w:t>
      </w:r>
    </w:p>
    <w:p w:rsidR="004F0C68" w:rsidRDefault="004F0C68" w:rsidP="004F0C68"/>
    <w:p w:rsidR="004F0C68" w:rsidRDefault="004F0C68" w:rsidP="004F0C68">
      <w:r>
        <w:t>Los intereses devengados por la cartera de préstamos y no reconocidos como resultados en el período reportado ascienden a $2,932.0  y  $2,413.0 para 2016 y 2015, respectivamente.</w:t>
      </w:r>
    </w:p>
    <w:p w:rsidR="00E773CA" w:rsidRDefault="00E773CA" w:rsidP="00E773CA"/>
    <w:p w:rsidR="0067285E" w:rsidRPr="00D00BAF" w:rsidRDefault="0067285E" w:rsidP="00E773CA"/>
    <w:p w:rsidR="000E0885" w:rsidRPr="00FE78FF" w:rsidRDefault="00A36C96" w:rsidP="00105A9E">
      <w:pPr>
        <w:pStyle w:val="Textoindependiente"/>
        <w:numPr>
          <w:ilvl w:val="0"/>
          <w:numId w:val="6"/>
        </w:numPr>
        <w:tabs>
          <w:tab w:val="clear" w:pos="720"/>
          <w:tab w:val="clear" w:pos="1296"/>
          <w:tab w:val="clear" w:pos="2016"/>
          <w:tab w:val="left" w:pos="-2160"/>
          <w:tab w:val="left" w:pos="-1980"/>
        </w:tabs>
        <w:jc w:val="both"/>
        <w:rPr>
          <w:rFonts w:ascii="Times New Roman" w:hAnsi="Times New Roman"/>
          <w:szCs w:val="23"/>
        </w:rPr>
      </w:pPr>
      <w:hyperlink r:id="rId18" w:history="1">
        <w:r w:rsidR="000E0885" w:rsidRPr="00FE78FF">
          <w:rPr>
            <w:rStyle w:val="Hipervnculo"/>
            <w:rFonts w:ascii="Times New Roman" w:hAnsi="Times New Roman"/>
            <w:color w:val="auto"/>
            <w:szCs w:val="23"/>
            <w:u w:val="none"/>
          </w:rPr>
          <w:t xml:space="preserve">CARTERA PIGNORADA </w:t>
        </w:r>
      </w:hyperlink>
      <w:r w:rsidR="000E0885" w:rsidRPr="00FE78FF">
        <w:rPr>
          <w:rFonts w:ascii="Times New Roman" w:hAnsi="Times New Roman"/>
          <w:szCs w:val="23"/>
        </w:rPr>
        <w:t xml:space="preserve"> </w:t>
      </w:r>
    </w:p>
    <w:p w:rsidR="00162D04" w:rsidRPr="00027CAD" w:rsidRDefault="00162D04" w:rsidP="00162D04">
      <w:pPr>
        <w:pStyle w:val="Textoindependiente"/>
        <w:tabs>
          <w:tab w:val="clear" w:pos="720"/>
          <w:tab w:val="clear" w:pos="1296"/>
          <w:tab w:val="clear" w:pos="2016"/>
          <w:tab w:val="left" w:pos="-2160"/>
          <w:tab w:val="left" w:pos="-1980"/>
        </w:tabs>
        <w:ind w:left="511"/>
        <w:jc w:val="both"/>
        <w:rPr>
          <w:rFonts w:ascii="Times New Roman" w:hAnsi="Times New Roman"/>
          <w:color w:val="00B050"/>
          <w:szCs w:val="23"/>
        </w:rPr>
      </w:pPr>
    </w:p>
    <w:p w:rsidR="00C86B78" w:rsidRPr="00D00BAF" w:rsidRDefault="00C86B78" w:rsidP="00C86B78">
      <w:pPr>
        <w:jc w:val="both"/>
        <w:rPr>
          <w:sz w:val="24"/>
        </w:rPr>
      </w:pPr>
      <w:r w:rsidRPr="00D00BAF">
        <w:rPr>
          <w:sz w:val="24"/>
        </w:rPr>
        <w:t>Se han obtenido recursos con garantía de la carte</w:t>
      </w:r>
      <w:r w:rsidR="004873EC">
        <w:rPr>
          <w:sz w:val="24"/>
        </w:rPr>
        <w:t>ra de préstamos para el 31/03</w:t>
      </w:r>
      <w:r w:rsidR="00C667E7">
        <w:rPr>
          <w:sz w:val="24"/>
        </w:rPr>
        <w:t>/16</w:t>
      </w:r>
      <w:r w:rsidR="004873EC">
        <w:rPr>
          <w:sz w:val="24"/>
        </w:rPr>
        <w:t xml:space="preserve"> y 31/03</w:t>
      </w:r>
      <w:r w:rsidR="00C667E7">
        <w:rPr>
          <w:sz w:val="24"/>
        </w:rPr>
        <w:t>/15</w:t>
      </w:r>
      <w:r w:rsidRPr="00D00BAF">
        <w:rPr>
          <w:sz w:val="24"/>
        </w:rPr>
        <w:t>, como a continuación se describe:</w:t>
      </w:r>
    </w:p>
    <w:p w:rsidR="00C86B78" w:rsidRPr="00D00BAF" w:rsidRDefault="00C86B78" w:rsidP="00C86B78">
      <w:pPr>
        <w:jc w:val="both"/>
        <w:rPr>
          <w:sz w:val="24"/>
        </w:rPr>
      </w:pPr>
      <w:bookmarkStart w:id="341" w:name="OLE_LINK46"/>
    </w:p>
    <w:bookmarkEnd w:id="341"/>
    <w:p w:rsidR="005E639B" w:rsidRPr="005E639B" w:rsidRDefault="005E639B" w:rsidP="005E639B">
      <w:pPr>
        <w:pStyle w:val="Prrafodelista"/>
        <w:numPr>
          <w:ilvl w:val="0"/>
          <w:numId w:val="44"/>
        </w:numPr>
        <w:jc w:val="both"/>
        <w:rPr>
          <w:sz w:val="24"/>
        </w:rPr>
      </w:pPr>
      <w:r w:rsidRPr="005E639B">
        <w:rPr>
          <w:sz w:val="24"/>
        </w:rPr>
        <w:t>Préstamos recibidos al 31 de marzo de 2016 del Banco de Desarrollo de El Salvador por $25,904.2, garantizados con créditos categoría “A” hasta la “C” por un monto de $49,683.0, el saldo de préstamos más intereses es de $26,159.5 y al 31 de marzo de 2015 tenían un saldo de $31,303.3, garantizados con créditos categoría “A” hasta la “C” por un monto de $54,929.1, más bonos ISTA por $411.4,</w:t>
      </w:r>
      <w:r w:rsidR="00027CAD">
        <w:rPr>
          <w:sz w:val="24"/>
        </w:rPr>
        <w:t xml:space="preserve"> </w:t>
      </w:r>
      <w:r w:rsidRPr="005E639B">
        <w:rPr>
          <w:sz w:val="24"/>
        </w:rPr>
        <w:t>siendo el total de la garantía otorgada  de $55,340.5.</w:t>
      </w:r>
    </w:p>
    <w:p w:rsidR="005E639B" w:rsidRPr="005E639B" w:rsidRDefault="005E639B" w:rsidP="005E639B">
      <w:pPr>
        <w:jc w:val="both"/>
        <w:rPr>
          <w:sz w:val="24"/>
        </w:rPr>
      </w:pPr>
    </w:p>
    <w:p w:rsidR="00B04FAC" w:rsidRPr="0040363E" w:rsidRDefault="00B04FAC" w:rsidP="00B04FAC">
      <w:pPr>
        <w:pStyle w:val="Prrafodelista"/>
        <w:numPr>
          <w:ilvl w:val="0"/>
          <w:numId w:val="44"/>
        </w:numPr>
        <w:jc w:val="both"/>
        <w:rPr>
          <w:sz w:val="24"/>
        </w:rPr>
      </w:pPr>
      <w:r w:rsidRPr="0040363E">
        <w:rPr>
          <w:sz w:val="24"/>
        </w:rPr>
        <w:t>Préstamos recibidos al 31 de marzo de 2016 del Banco Centroamericano de Integración Económica (BCIE), por $302.6, garantizados con créditos categoría “A” hasta “B” por un monto de $345.0 y efectivo por $457.1 , el saldo de los préstamos más intereses es de $305.3 y al 31 de marzo de 2015 tenía un saldo por $423.8, garantizados con créditos categoría “A” hasta “B” por un monto de $435.5, más bonos ISTA por $1,600.0, siendo el  total de la garantía de  $2,035.5; el saldo de los préstamos más intereses es de $427.5.</w:t>
      </w:r>
    </w:p>
    <w:p w:rsidR="005E639B" w:rsidRPr="005E639B" w:rsidRDefault="005E639B" w:rsidP="005E639B">
      <w:pPr>
        <w:rPr>
          <w:sz w:val="24"/>
        </w:rPr>
      </w:pPr>
      <w:r w:rsidRPr="005E639B">
        <w:rPr>
          <w:sz w:val="24"/>
        </w:rPr>
        <w:tab/>
      </w:r>
    </w:p>
    <w:p w:rsidR="00987F80" w:rsidRPr="00987F80" w:rsidRDefault="00987F80" w:rsidP="00987F80">
      <w:pPr>
        <w:rPr>
          <w:sz w:val="24"/>
        </w:rPr>
      </w:pPr>
      <w:r w:rsidRPr="00987F80">
        <w:rPr>
          <w:sz w:val="24"/>
        </w:rPr>
        <w:t>Los créditos referidos constan en registros que permiten su identificación plena, a efecto de responder ante nuestros acreedores por las responsabilidades legales derivadas de los contratos respectivos.</w:t>
      </w:r>
    </w:p>
    <w:p w:rsidR="00162D04" w:rsidRDefault="00162D04" w:rsidP="0094692E">
      <w:pPr>
        <w:pStyle w:val="Textoindependiente2"/>
        <w:tabs>
          <w:tab w:val="clear" w:pos="-2160"/>
          <w:tab w:val="clear" w:pos="-1980"/>
        </w:tabs>
      </w:pPr>
    </w:p>
    <w:p w:rsidR="006351B9" w:rsidRPr="00D00BAF" w:rsidRDefault="006351B9" w:rsidP="0094692E">
      <w:pPr>
        <w:pStyle w:val="Textoindependiente2"/>
        <w:tabs>
          <w:tab w:val="clear" w:pos="-2160"/>
          <w:tab w:val="clear" w:pos="-1980"/>
        </w:tabs>
      </w:pPr>
    </w:p>
    <w:p w:rsidR="000E0885" w:rsidRPr="00FE78FF" w:rsidRDefault="00A36C96">
      <w:pPr>
        <w:pStyle w:val="Textoindependiente"/>
        <w:numPr>
          <w:ilvl w:val="0"/>
          <w:numId w:val="6"/>
        </w:numPr>
        <w:tabs>
          <w:tab w:val="clear" w:pos="720"/>
          <w:tab w:val="clear" w:pos="1296"/>
          <w:tab w:val="clear" w:pos="2016"/>
          <w:tab w:val="left" w:pos="-2160"/>
          <w:tab w:val="left" w:pos="-1980"/>
        </w:tabs>
        <w:jc w:val="both"/>
        <w:rPr>
          <w:rFonts w:ascii="Times New Roman" w:hAnsi="Times New Roman"/>
        </w:rPr>
      </w:pPr>
      <w:hyperlink r:id="rId19" w:history="1">
        <w:r w:rsidR="000E0885" w:rsidRPr="00FE78FF">
          <w:rPr>
            <w:rStyle w:val="Hipervnculo"/>
            <w:rFonts w:ascii="Times New Roman" w:hAnsi="Times New Roman"/>
            <w:color w:val="auto"/>
            <w:u w:val="none"/>
          </w:rPr>
          <w:t>BIENES RECIBIDOS EN PAGO (ACTIVOS EXTRAORDINARIOS)</w:t>
        </w:r>
      </w:hyperlink>
    </w:p>
    <w:p w:rsidR="000E0885" w:rsidRPr="00D00BAF" w:rsidRDefault="000E0885">
      <w:pPr>
        <w:ind w:left="-85"/>
        <w:rPr>
          <w:b/>
          <w:bCs/>
          <w:sz w:val="24"/>
          <w:lang w:val="es-ES_tradnl"/>
        </w:rPr>
      </w:pPr>
    </w:p>
    <w:bookmarkEnd w:id="27"/>
    <w:bookmarkEnd w:id="28"/>
    <w:p w:rsidR="00375BE5" w:rsidRPr="00375BE5" w:rsidRDefault="00375BE5" w:rsidP="00375BE5">
      <w:pPr>
        <w:tabs>
          <w:tab w:val="left" w:pos="-2160"/>
          <w:tab w:val="left" w:pos="-1980"/>
          <w:tab w:val="left" w:pos="709"/>
        </w:tabs>
        <w:jc w:val="both"/>
        <w:rPr>
          <w:sz w:val="24"/>
          <w:szCs w:val="24"/>
        </w:rPr>
      </w:pPr>
      <w:r w:rsidRPr="00375BE5">
        <w:rPr>
          <w:sz w:val="24"/>
          <w:szCs w:val="24"/>
        </w:rPr>
        <w:t>Al 31/03/16 y 31/03/15, la institución mantiene saldos netos de activos extraordinarios por valor de $276.2 y $69.0, respectivamente.</w:t>
      </w:r>
    </w:p>
    <w:p w:rsidR="00375BE5" w:rsidRPr="00375BE5" w:rsidRDefault="00375BE5" w:rsidP="00375BE5">
      <w:pPr>
        <w:tabs>
          <w:tab w:val="left" w:pos="-2160"/>
          <w:tab w:val="left" w:pos="-1980"/>
          <w:tab w:val="left" w:pos="709"/>
        </w:tabs>
        <w:jc w:val="both"/>
        <w:rPr>
          <w:sz w:val="24"/>
          <w:szCs w:val="24"/>
        </w:rPr>
      </w:pPr>
    </w:p>
    <w:p w:rsidR="00375BE5" w:rsidRPr="00375BE5" w:rsidRDefault="00375BE5" w:rsidP="00375BE5">
      <w:pPr>
        <w:tabs>
          <w:tab w:val="left" w:pos="-2160"/>
          <w:tab w:val="left" w:pos="-1980"/>
          <w:tab w:val="left" w:pos="709"/>
        </w:tabs>
        <w:jc w:val="both"/>
        <w:rPr>
          <w:sz w:val="24"/>
          <w:szCs w:val="24"/>
        </w:rPr>
      </w:pPr>
      <w:r w:rsidRPr="00375BE5">
        <w:rPr>
          <w:sz w:val="24"/>
          <w:szCs w:val="24"/>
        </w:rPr>
        <w:t>El movimiento de activos extraordinarios, registrados durante los períodos reportados, se resume a continuación:</w:t>
      </w:r>
    </w:p>
    <w:p w:rsidR="00375BE5" w:rsidRPr="00375BE5" w:rsidRDefault="00375BE5" w:rsidP="00375BE5">
      <w:pPr>
        <w:tabs>
          <w:tab w:val="left" w:pos="-2160"/>
          <w:tab w:val="left" w:pos="-1980"/>
          <w:tab w:val="left" w:pos="709"/>
        </w:tabs>
        <w:jc w:val="both"/>
        <w:rPr>
          <w:sz w:val="24"/>
          <w:szCs w:val="24"/>
        </w:rPr>
      </w:pPr>
    </w:p>
    <w:bookmarkStart w:id="342" w:name="_MON_1442823656"/>
    <w:bookmarkStart w:id="343" w:name="_MON_1442827331"/>
    <w:bookmarkStart w:id="344" w:name="_MON_1442828832"/>
    <w:bookmarkStart w:id="345" w:name="_MON_1442832583"/>
    <w:bookmarkStart w:id="346" w:name="_MON_1442924102"/>
    <w:bookmarkStart w:id="347" w:name="_MON_1452609972"/>
    <w:bookmarkStart w:id="348" w:name="_MON_1452610920"/>
    <w:bookmarkStart w:id="349" w:name="_MON_1452664630"/>
    <w:bookmarkStart w:id="350" w:name="_MON_1452948439"/>
    <w:bookmarkStart w:id="351" w:name="_MON_1452950104"/>
    <w:bookmarkStart w:id="352" w:name="_MON_1452951941"/>
    <w:bookmarkStart w:id="353" w:name="_MON_1458630587"/>
    <w:bookmarkStart w:id="354" w:name="_MON_1458631050"/>
    <w:bookmarkStart w:id="355" w:name="_MON_1458631708"/>
    <w:bookmarkStart w:id="356" w:name="_MON_1458631766"/>
    <w:bookmarkStart w:id="357" w:name="_MON_1458631901"/>
    <w:bookmarkStart w:id="358" w:name="_MON_1458632162"/>
    <w:bookmarkStart w:id="359" w:name="_MON_1458632303"/>
    <w:bookmarkStart w:id="360" w:name="_MON_1332231004"/>
    <w:bookmarkStart w:id="361" w:name="_MON_1332307766"/>
    <w:bookmarkStart w:id="362" w:name="_MON_1332312435"/>
    <w:bookmarkStart w:id="363" w:name="_MON_1339832801"/>
    <w:bookmarkStart w:id="364" w:name="_MON_1339834197"/>
    <w:bookmarkStart w:id="365" w:name="_MON_1339932176"/>
    <w:bookmarkStart w:id="366" w:name="_MON_1341304001"/>
    <w:bookmarkStart w:id="367" w:name="_MON_1347955596"/>
    <w:bookmarkStart w:id="368" w:name="_MON_1347960439"/>
    <w:bookmarkStart w:id="369" w:name="_MON_1347965615"/>
    <w:bookmarkStart w:id="370" w:name="_MON_1347965640"/>
    <w:bookmarkStart w:id="371" w:name="_MON_1347967515"/>
    <w:bookmarkStart w:id="372" w:name="_MON_1348040686"/>
    <w:bookmarkStart w:id="373" w:name="_MON_1348043881"/>
    <w:bookmarkStart w:id="374" w:name="_MON_1363763663"/>
    <w:bookmarkStart w:id="375" w:name="_MON_1376981012"/>
    <w:bookmarkStart w:id="376" w:name="_MON_1376981034"/>
    <w:bookmarkStart w:id="377" w:name="_MON_1378811367"/>
    <w:bookmarkStart w:id="378" w:name="_MON_1379486188"/>
    <w:bookmarkStart w:id="379" w:name="_MON_1379507978"/>
    <w:bookmarkStart w:id="380" w:name="_MON_1379508068"/>
    <w:bookmarkStart w:id="381" w:name="_MON_1379753623"/>
    <w:bookmarkStart w:id="382" w:name="_MON_1379753633"/>
    <w:bookmarkStart w:id="383" w:name="_MON_1395759721"/>
    <w:bookmarkStart w:id="384" w:name="_MON_139610886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Start w:id="385" w:name="_MON_1442752774"/>
    <w:bookmarkEnd w:id="385"/>
    <w:p w:rsidR="00375BE5" w:rsidRPr="00375BE5" w:rsidRDefault="00375BE5" w:rsidP="00375BE5">
      <w:r w:rsidRPr="00375BE5">
        <w:rPr>
          <w:sz w:val="24"/>
          <w:szCs w:val="24"/>
        </w:rPr>
        <w:object w:dxaOrig="8124" w:dyaOrig="2303">
          <v:shape id="_x0000_i1029" type="#_x0000_t75" style="width:438pt;height:129pt" o:ole="" fillcolor="window">
            <v:imagedata r:id="rId20" o:title=""/>
          </v:shape>
          <o:OLEObject Type="Embed" ProgID="Excel.Sheet.8" ShapeID="_x0000_i1029" DrawAspect="Content" ObjectID="_1523254131" r:id="rId21"/>
        </w:object>
      </w:r>
    </w:p>
    <w:p w:rsidR="00375BE5" w:rsidRPr="00375BE5" w:rsidRDefault="00375BE5" w:rsidP="00375BE5"/>
    <w:p w:rsidR="00375BE5" w:rsidRPr="00375BE5" w:rsidRDefault="00375BE5" w:rsidP="00375BE5">
      <w:pPr>
        <w:tabs>
          <w:tab w:val="left" w:pos="-2160"/>
          <w:tab w:val="left" w:pos="-1980"/>
          <w:tab w:val="left" w:pos="709"/>
        </w:tabs>
        <w:jc w:val="both"/>
        <w:rPr>
          <w:sz w:val="24"/>
          <w:szCs w:val="24"/>
        </w:rPr>
      </w:pPr>
      <w:r w:rsidRPr="00375BE5">
        <w:rPr>
          <w:sz w:val="24"/>
          <w:szCs w:val="24"/>
        </w:rPr>
        <w:t xml:space="preserve">El artículo 72 de la Ley de Bancos establece que los activos extraordinarios que adquieran los Bancos, deberán ser liquidados dentro de un plazo de cinco años a contar de la fecha de su </w:t>
      </w:r>
      <w:r w:rsidRPr="00375BE5">
        <w:rPr>
          <w:sz w:val="24"/>
          <w:szCs w:val="24"/>
        </w:rPr>
        <w:lastRenderedPageBreak/>
        <w:t>adquisición, debiendo provisionarlos como pérdida en su contabilidad, durante los primeros cuatro años, mediante provisiones mensuales uniformes.</w:t>
      </w:r>
    </w:p>
    <w:p w:rsidR="009A4C00" w:rsidRPr="009A4C00" w:rsidRDefault="009A4C00" w:rsidP="009A4C00">
      <w:pPr>
        <w:pStyle w:val="Textoindependiente"/>
        <w:tabs>
          <w:tab w:val="clear" w:pos="720"/>
          <w:tab w:val="clear" w:pos="1296"/>
          <w:tab w:val="clear" w:pos="2016"/>
          <w:tab w:val="left" w:pos="-2160"/>
          <w:tab w:val="left" w:pos="-1980"/>
        </w:tabs>
        <w:ind w:left="511"/>
        <w:jc w:val="both"/>
        <w:rPr>
          <w:rFonts w:ascii="Times New Roman" w:hAnsi="Times New Roman"/>
          <w:bCs/>
        </w:rPr>
      </w:pPr>
    </w:p>
    <w:p w:rsidR="009A4C00" w:rsidRPr="009A4C00" w:rsidRDefault="009A4C00" w:rsidP="009A4C00">
      <w:pPr>
        <w:pStyle w:val="Textoindependiente"/>
        <w:tabs>
          <w:tab w:val="clear" w:pos="720"/>
          <w:tab w:val="clear" w:pos="1296"/>
          <w:tab w:val="clear" w:pos="2016"/>
          <w:tab w:val="left" w:pos="-2160"/>
          <w:tab w:val="left" w:pos="-1980"/>
        </w:tabs>
        <w:ind w:left="511"/>
        <w:jc w:val="both"/>
        <w:rPr>
          <w:rFonts w:ascii="Times New Roman" w:hAnsi="Times New Roman"/>
          <w:bCs/>
        </w:rPr>
      </w:pPr>
    </w:p>
    <w:p w:rsidR="000E0885" w:rsidRPr="00FE78FF" w:rsidRDefault="00A36C96">
      <w:pPr>
        <w:pStyle w:val="Textoindependiente"/>
        <w:numPr>
          <w:ilvl w:val="0"/>
          <w:numId w:val="6"/>
        </w:numPr>
        <w:tabs>
          <w:tab w:val="clear" w:pos="720"/>
          <w:tab w:val="clear" w:pos="1296"/>
          <w:tab w:val="clear" w:pos="2016"/>
          <w:tab w:val="left" w:pos="-2160"/>
          <w:tab w:val="left" w:pos="-1980"/>
        </w:tabs>
        <w:jc w:val="both"/>
        <w:rPr>
          <w:rFonts w:ascii="Times New Roman" w:hAnsi="Times New Roman"/>
          <w:bCs/>
        </w:rPr>
      </w:pPr>
      <w:hyperlink r:id="rId22" w:history="1">
        <w:r w:rsidR="000E0885" w:rsidRPr="00FE78FF">
          <w:rPr>
            <w:rStyle w:val="Hipervnculo"/>
            <w:rFonts w:ascii="Times New Roman" w:hAnsi="Times New Roman"/>
            <w:bCs/>
            <w:color w:val="auto"/>
            <w:u w:val="none"/>
          </w:rPr>
          <w:t>DEPÓSITOS DE CLIENTES</w:t>
        </w:r>
      </w:hyperlink>
    </w:p>
    <w:p w:rsidR="000E0885" w:rsidRPr="00D00BAF" w:rsidRDefault="000E0885">
      <w:pPr>
        <w:rPr>
          <w:b/>
          <w:sz w:val="24"/>
        </w:rPr>
      </w:pPr>
    </w:p>
    <w:p w:rsidR="00027CAD" w:rsidRPr="008B4E41" w:rsidRDefault="00027CAD" w:rsidP="00027CAD">
      <w:pPr>
        <w:tabs>
          <w:tab w:val="left" w:pos="-2160"/>
          <w:tab w:val="left" w:pos="-1980"/>
          <w:tab w:val="left" w:pos="709"/>
        </w:tabs>
        <w:jc w:val="both"/>
        <w:rPr>
          <w:sz w:val="24"/>
        </w:rPr>
      </w:pPr>
      <w:r w:rsidRPr="008B4E41">
        <w:rPr>
          <w:sz w:val="24"/>
        </w:rPr>
        <w:t>La cartera de depósitos del Banco se encuentra distribuida así:</w:t>
      </w:r>
    </w:p>
    <w:p w:rsidR="00027CAD" w:rsidRPr="008B4E41" w:rsidRDefault="00027CAD" w:rsidP="00027CAD">
      <w:pPr>
        <w:ind w:left="4248"/>
        <w:rPr>
          <w:b/>
        </w:rPr>
      </w:pPr>
    </w:p>
    <w:bookmarkStart w:id="386" w:name="_MON_1442737795"/>
    <w:bookmarkStart w:id="387" w:name="_MON_1395668485"/>
    <w:bookmarkEnd w:id="386"/>
    <w:bookmarkEnd w:id="387"/>
    <w:bookmarkStart w:id="388" w:name="_MON_1440925410"/>
    <w:bookmarkEnd w:id="388"/>
    <w:p w:rsidR="00027CAD" w:rsidRPr="008B4E41" w:rsidRDefault="00027CAD" w:rsidP="00027CAD">
      <w:pPr>
        <w:rPr>
          <w:b/>
        </w:rPr>
      </w:pPr>
      <w:r w:rsidRPr="006E63E2">
        <w:rPr>
          <w:b/>
        </w:rPr>
        <w:object w:dxaOrig="7794" w:dyaOrig="1835">
          <v:shape id="_x0000_i1030" type="#_x0000_t75" style="width:368pt;height:85.5pt" o:ole="" fillcolor="window">
            <v:imagedata r:id="rId23" o:title=""/>
          </v:shape>
          <o:OLEObject Type="Embed" ProgID="Excel.Sheet.8" ShapeID="_x0000_i1030" DrawAspect="Content" ObjectID="_1523254132" r:id="rId24"/>
        </w:object>
      </w:r>
    </w:p>
    <w:p w:rsidR="00027CAD" w:rsidRPr="008B4E41" w:rsidRDefault="00027CAD" w:rsidP="00027CAD"/>
    <w:p w:rsidR="00CE3E7F" w:rsidRPr="008B4E41" w:rsidRDefault="00CE3E7F" w:rsidP="00CE3E7F">
      <w:pPr>
        <w:tabs>
          <w:tab w:val="left" w:pos="-2160"/>
          <w:tab w:val="left" w:pos="-1980"/>
          <w:tab w:val="left" w:pos="709"/>
        </w:tabs>
        <w:jc w:val="both"/>
        <w:rPr>
          <w:sz w:val="24"/>
        </w:rPr>
      </w:pPr>
      <w:r w:rsidRPr="00CE3E7F">
        <w:rPr>
          <w:sz w:val="24"/>
        </w:rPr>
        <w:t>Las diferentes clases de depósitos del Banco son las siguientes:</w:t>
      </w:r>
    </w:p>
    <w:p w:rsidR="00CE3E7F" w:rsidRPr="008B4E41" w:rsidRDefault="00CE3E7F" w:rsidP="00CE3E7F">
      <w:pPr>
        <w:tabs>
          <w:tab w:val="left" w:pos="142"/>
          <w:tab w:val="left" w:pos="284"/>
          <w:tab w:val="left" w:pos="7371"/>
        </w:tabs>
        <w:ind w:left="4248"/>
        <w:rPr>
          <w:b/>
        </w:rPr>
      </w:pPr>
    </w:p>
    <w:bookmarkStart w:id="389" w:name="_MON_1440925435"/>
    <w:bookmarkStart w:id="390" w:name="_MON_1424676789"/>
    <w:bookmarkEnd w:id="389"/>
    <w:bookmarkEnd w:id="390"/>
    <w:bookmarkStart w:id="391" w:name="_MON_1440925429"/>
    <w:bookmarkEnd w:id="391"/>
    <w:p w:rsidR="00CE3E7F" w:rsidRPr="008B4E41" w:rsidRDefault="00CE3E7F" w:rsidP="00CE3E7F">
      <w:pPr>
        <w:rPr>
          <w:b/>
        </w:rPr>
      </w:pPr>
      <w:r w:rsidRPr="006E63E2">
        <w:rPr>
          <w:b/>
        </w:rPr>
        <w:object w:dxaOrig="7854" w:dyaOrig="1494">
          <v:shape id="_x0000_i1031" type="#_x0000_t75" style="width:369.5pt;height:69.5pt" o:ole="" fillcolor="window">
            <v:imagedata r:id="rId25" o:title=""/>
          </v:shape>
          <o:OLEObject Type="Embed" ProgID="Excel.Sheet.8" ShapeID="_x0000_i1031" DrawAspect="Content" ObjectID="_1523254133" r:id="rId26"/>
        </w:object>
      </w:r>
    </w:p>
    <w:p w:rsidR="00027CAD" w:rsidRPr="008B4E41" w:rsidRDefault="00027CAD" w:rsidP="00027CAD">
      <w:pPr>
        <w:rPr>
          <w:b/>
        </w:rPr>
      </w:pPr>
    </w:p>
    <w:p w:rsidR="00027CAD" w:rsidRPr="00722888" w:rsidRDefault="00027CAD" w:rsidP="00027CAD">
      <w:pPr>
        <w:tabs>
          <w:tab w:val="left" w:pos="-2160"/>
          <w:tab w:val="left" w:pos="-1980"/>
          <w:tab w:val="left" w:pos="709"/>
        </w:tabs>
        <w:snapToGrid w:val="0"/>
        <w:jc w:val="both"/>
        <w:rPr>
          <w:sz w:val="24"/>
          <w:szCs w:val="24"/>
        </w:rPr>
      </w:pPr>
      <w:r w:rsidRPr="00722888">
        <w:rPr>
          <w:sz w:val="24"/>
          <w:szCs w:val="24"/>
        </w:rPr>
        <w:t>Todos los Depósitos están constituidos en dólares de los Estados Unidos de América.</w:t>
      </w:r>
    </w:p>
    <w:p w:rsidR="00027CAD" w:rsidRPr="00722888" w:rsidRDefault="00027CAD" w:rsidP="00027CAD">
      <w:pPr>
        <w:tabs>
          <w:tab w:val="left" w:pos="-2160"/>
          <w:tab w:val="left" w:pos="-1980"/>
          <w:tab w:val="left" w:pos="709"/>
        </w:tabs>
        <w:snapToGrid w:val="0"/>
        <w:jc w:val="both"/>
        <w:rPr>
          <w:sz w:val="24"/>
          <w:szCs w:val="24"/>
        </w:rPr>
      </w:pPr>
    </w:p>
    <w:p w:rsidR="00027CAD" w:rsidRPr="00722888" w:rsidRDefault="00027CAD" w:rsidP="00027CAD">
      <w:pPr>
        <w:tabs>
          <w:tab w:val="left" w:pos="-2160"/>
          <w:tab w:val="left" w:pos="-1980"/>
          <w:tab w:val="left" w:pos="709"/>
        </w:tabs>
        <w:snapToGrid w:val="0"/>
        <w:jc w:val="both"/>
        <w:rPr>
          <w:sz w:val="24"/>
          <w:szCs w:val="24"/>
        </w:rPr>
      </w:pPr>
      <w:r w:rsidRPr="00722888">
        <w:rPr>
          <w:sz w:val="24"/>
          <w:szCs w:val="24"/>
        </w:rPr>
        <w:t>La tasa de costo promedio de la cartera de depósitos, para los períodos reportados de 2016 y 2015 es de 0.6% y 0.5%, que equivaldría al  2.4% y 2.0% anual, respectivamente.</w:t>
      </w:r>
    </w:p>
    <w:p w:rsidR="00027CAD" w:rsidRPr="00722888" w:rsidRDefault="00027CAD" w:rsidP="00027CAD">
      <w:pPr>
        <w:tabs>
          <w:tab w:val="left" w:pos="-2160"/>
          <w:tab w:val="left" w:pos="-1980"/>
          <w:tab w:val="left" w:pos="709"/>
        </w:tabs>
        <w:snapToGrid w:val="0"/>
        <w:jc w:val="both"/>
        <w:rPr>
          <w:sz w:val="24"/>
          <w:szCs w:val="24"/>
        </w:rPr>
      </w:pPr>
    </w:p>
    <w:p w:rsidR="00027CAD" w:rsidRDefault="00027CAD" w:rsidP="00027CAD">
      <w:pPr>
        <w:tabs>
          <w:tab w:val="left" w:pos="-2160"/>
          <w:tab w:val="left" w:pos="-1980"/>
          <w:tab w:val="left" w:pos="709"/>
        </w:tabs>
        <w:snapToGrid w:val="0"/>
        <w:jc w:val="both"/>
        <w:rPr>
          <w:sz w:val="24"/>
          <w:szCs w:val="24"/>
        </w:rPr>
      </w:pPr>
      <w:r w:rsidRPr="00722888">
        <w:rPr>
          <w:sz w:val="24"/>
          <w:szCs w:val="24"/>
        </w:rPr>
        <w:t>La tasa de costo promedio de la cartera de depósitos es el porcentaje que resulta de dividir el rubro “Costos de captación de depósitos”, entre el saldo promedio de la cartera de depósitos.</w:t>
      </w:r>
    </w:p>
    <w:p w:rsidR="002C2CCD" w:rsidRPr="00027CAD" w:rsidRDefault="002C2CCD" w:rsidP="002C2CCD">
      <w:pPr>
        <w:tabs>
          <w:tab w:val="left" w:pos="-2160"/>
          <w:tab w:val="left" w:pos="-1980"/>
          <w:tab w:val="left" w:pos="709"/>
        </w:tabs>
        <w:snapToGrid w:val="0"/>
        <w:jc w:val="both"/>
        <w:rPr>
          <w:sz w:val="24"/>
          <w:szCs w:val="24"/>
        </w:rPr>
      </w:pPr>
    </w:p>
    <w:p w:rsidR="00EC7AA4" w:rsidRPr="00D00BAF" w:rsidRDefault="00EC7AA4" w:rsidP="002C2CCD">
      <w:pPr>
        <w:tabs>
          <w:tab w:val="left" w:pos="-2160"/>
          <w:tab w:val="left" w:pos="-1980"/>
          <w:tab w:val="left" w:pos="709"/>
        </w:tabs>
        <w:snapToGrid w:val="0"/>
        <w:jc w:val="both"/>
        <w:rPr>
          <w:sz w:val="24"/>
          <w:szCs w:val="24"/>
          <w:lang w:val="es-ES_tradnl"/>
        </w:rPr>
      </w:pPr>
    </w:p>
    <w:p w:rsidR="000E0885" w:rsidRPr="00FE78FF" w:rsidRDefault="00A36C96">
      <w:pPr>
        <w:pStyle w:val="Textoindependiente"/>
        <w:numPr>
          <w:ilvl w:val="0"/>
          <w:numId w:val="6"/>
        </w:numPr>
        <w:tabs>
          <w:tab w:val="clear" w:pos="720"/>
          <w:tab w:val="clear" w:pos="1296"/>
          <w:tab w:val="clear" w:pos="2016"/>
          <w:tab w:val="left" w:pos="-2160"/>
          <w:tab w:val="left" w:pos="-1980"/>
        </w:tabs>
        <w:ind w:left="1134" w:hanging="1134"/>
        <w:jc w:val="both"/>
        <w:rPr>
          <w:rFonts w:ascii="Times New Roman" w:hAnsi="Times New Roman"/>
          <w:b w:val="0"/>
        </w:rPr>
      </w:pPr>
      <w:hyperlink r:id="rId27" w:history="1">
        <w:r w:rsidR="000E0885" w:rsidRPr="00FE78FF">
          <w:rPr>
            <w:rStyle w:val="Hipervnculo"/>
            <w:rFonts w:ascii="Times New Roman" w:hAnsi="Times New Roman"/>
            <w:color w:val="auto"/>
            <w:u w:val="none"/>
          </w:rPr>
          <w:t>PRÉSTAMOS DEL BANCO DE DESARROLLO DE EL SALVADOR (BANDESAL)</w:t>
        </w:r>
      </w:hyperlink>
      <w:r w:rsidR="000E0885" w:rsidRPr="00FE78FF">
        <w:rPr>
          <w:rFonts w:ascii="Times New Roman" w:hAnsi="Times New Roman"/>
        </w:rPr>
        <w:t xml:space="preserve"> </w:t>
      </w:r>
    </w:p>
    <w:p w:rsidR="000E0885" w:rsidRPr="00D00BAF" w:rsidRDefault="000E0885">
      <w:pPr>
        <w:pStyle w:val="Textoindependiente"/>
        <w:tabs>
          <w:tab w:val="clear" w:pos="720"/>
          <w:tab w:val="clear" w:pos="1296"/>
          <w:tab w:val="clear" w:pos="2016"/>
          <w:tab w:val="left" w:pos="-2160"/>
          <w:tab w:val="left" w:pos="-1980"/>
        </w:tabs>
        <w:jc w:val="both"/>
        <w:rPr>
          <w:rFonts w:ascii="Times New Roman" w:hAnsi="Times New Roman"/>
          <w:b w:val="0"/>
        </w:rPr>
      </w:pPr>
    </w:p>
    <w:p w:rsidR="00D72516" w:rsidRPr="00D72516" w:rsidRDefault="00D72516" w:rsidP="00D72516">
      <w:pPr>
        <w:pStyle w:val="Textoindependiente2"/>
        <w:rPr>
          <w:bCs/>
        </w:rPr>
      </w:pPr>
      <w:r w:rsidRPr="00D72516">
        <w:rPr>
          <w:bCs/>
        </w:rPr>
        <w:t>A la fecha de referencia de los Estados Financieros el Banco mantiene obligaciones con el Banco de Desarrollo de El Salvador, (BANDESAL) por $ 26,159.5 y $ 31,610.3, para el 31/03/16 y 31/03/15 respectivamente, montos que incluyen capital más intereses</w:t>
      </w:r>
      <w:r w:rsidR="00027CAD">
        <w:rPr>
          <w:bCs/>
        </w:rPr>
        <w:t>.</w:t>
      </w:r>
    </w:p>
    <w:p w:rsidR="00D72516" w:rsidRDefault="00D72516" w:rsidP="00D72516">
      <w:pPr>
        <w:pStyle w:val="Textoindependiente2"/>
        <w:rPr>
          <w:bCs/>
        </w:rPr>
      </w:pPr>
    </w:p>
    <w:p w:rsidR="000E0885" w:rsidRPr="00D00BAF" w:rsidRDefault="000E0885">
      <w:pPr>
        <w:pStyle w:val="Textoindependiente2"/>
        <w:tabs>
          <w:tab w:val="clear" w:pos="-2160"/>
          <w:tab w:val="clear" w:pos="-1980"/>
        </w:tabs>
        <w:rPr>
          <w:bCs/>
        </w:rPr>
      </w:pPr>
    </w:p>
    <w:p w:rsidR="000E0885" w:rsidRPr="00FE78FF" w:rsidRDefault="00A36C96">
      <w:pPr>
        <w:pStyle w:val="Textoindependiente"/>
        <w:numPr>
          <w:ilvl w:val="0"/>
          <w:numId w:val="6"/>
        </w:numPr>
        <w:tabs>
          <w:tab w:val="clear" w:pos="720"/>
          <w:tab w:val="clear" w:pos="1296"/>
          <w:tab w:val="clear" w:pos="2016"/>
          <w:tab w:val="left" w:pos="-2160"/>
          <w:tab w:val="left" w:pos="-1980"/>
        </w:tabs>
        <w:jc w:val="both"/>
        <w:rPr>
          <w:rFonts w:ascii="Times New Roman" w:hAnsi="Times New Roman"/>
          <w:b w:val="0"/>
        </w:rPr>
      </w:pPr>
      <w:hyperlink r:id="rId28" w:history="1">
        <w:r w:rsidR="000E0885" w:rsidRPr="00FE78FF">
          <w:rPr>
            <w:rStyle w:val="Hipervnculo"/>
            <w:rFonts w:ascii="Times New Roman" w:hAnsi="Times New Roman"/>
            <w:color w:val="auto"/>
            <w:u w:val="none"/>
          </w:rPr>
          <w:t>PRÉSTAMOS DE OTROS BANCOS</w:t>
        </w:r>
      </w:hyperlink>
      <w:r w:rsidR="000E0885" w:rsidRPr="00FE78FF">
        <w:rPr>
          <w:rFonts w:ascii="Times New Roman" w:hAnsi="Times New Roman"/>
        </w:rPr>
        <w:t xml:space="preserve"> </w:t>
      </w:r>
    </w:p>
    <w:p w:rsidR="000E0885" w:rsidRPr="00FE78FF" w:rsidRDefault="000E0885">
      <w:pPr>
        <w:pStyle w:val="Textoindependiente"/>
        <w:tabs>
          <w:tab w:val="clear" w:pos="720"/>
          <w:tab w:val="clear" w:pos="1296"/>
          <w:tab w:val="clear" w:pos="2016"/>
          <w:tab w:val="left" w:pos="-2160"/>
          <w:tab w:val="left" w:pos="-1980"/>
        </w:tabs>
        <w:jc w:val="both"/>
        <w:rPr>
          <w:rFonts w:ascii="Times New Roman" w:hAnsi="Times New Roman"/>
          <w:b w:val="0"/>
        </w:rPr>
      </w:pPr>
    </w:p>
    <w:p w:rsidR="000E0885" w:rsidRPr="00D00BAF" w:rsidRDefault="000E0885">
      <w:pPr>
        <w:pStyle w:val="Textoindependiente2"/>
        <w:tabs>
          <w:tab w:val="clear" w:pos="-2160"/>
          <w:tab w:val="clear" w:pos="-1980"/>
        </w:tabs>
        <w:rPr>
          <w:bCs/>
        </w:rPr>
      </w:pPr>
      <w:r w:rsidRPr="00D00BAF">
        <w:rPr>
          <w:bCs/>
        </w:rPr>
        <w:t>Las obligaciones por préstamos con el Banco Centroamericano de Integración Económica (B</w:t>
      </w:r>
      <w:r w:rsidR="006D07ED" w:rsidRPr="00D00BAF">
        <w:rPr>
          <w:bCs/>
        </w:rPr>
        <w:t xml:space="preserve">CIE), al </w:t>
      </w:r>
      <w:r w:rsidR="0055420F" w:rsidRPr="00D00BAF">
        <w:rPr>
          <w:bCs/>
        </w:rPr>
        <w:t xml:space="preserve">31 de </w:t>
      </w:r>
      <w:r w:rsidR="00B04FAC">
        <w:rPr>
          <w:bCs/>
        </w:rPr>
        <w:t xml:space="preserve">marzo </w:t>
      </w:r>
      <w:r w:rsidR="00175FAA" w:rsidRPr="00D00BAF">
        <w:rPr>
          <w:bCs/>
        </w:rPr>
        <w:t>de 201</w:t>
      </w:r>
      <w:r w:rsidR="00B04FAC">
        <w:rPr>
          <w:bCs/>
        </w:rPr>
        <w:t>6</w:t>
      </w:r>
      <w:r w:rsidR="00175FAA" w:rsidRPr="00D00BAF">
        <w:rPr>
          <w:bCs/>
        </w:rPr>
        <w:t xml:space="preserve"> y</w:t>
      </w:r>
      <w:r w:rsidR="00DE6050" w:rsidRPr="00D00BAF">
        <w:rPr>
          <w:bCs/>
        </w:rPr>
        <w:t xml:space="preserve"> 201</w:t>
      </w:r>
      <w:r w:rsidR="00B04FAC">
        <w:rPr>
          <w:bCs/>
        </w:rPr>
        <w:t>5</w:t>
      </w:r>
      <w:r w:rsidRPr="00D00BAF">
        <w:rPr>
          <w:bCs/>
        </w:rPr>
        <w:t>, ascienden a</w:t>
      </w:r>
      <w:r w:rsidR="006D07ED" w:rsidRPr="00D00BAF">
        <w:rPr>
          <w:bCs/>
        </w:rPr>
        <w:t xml:space="preserve"> $</w:t>
      </w:r>
      <w:r w:rsidR="00B40C67">
        <w:rPr>
          <w:bCs/>
        </w:rPr>
        <w:t>305.3</w:t>
      </w:r>
      <w:r w:rsidRPr="00D00BAF">
        <w:rPr>
          <w:bCs/>
        </w:rPr>
        <w:t xml:space="preserve"> y </w:t>
      </w:r>
      <w:r w:rsidR="006D07ED" w:rsidRPr="00D00BAF">
        <w:rPr>
          <w:bCs/>
        </w:rPr>
        <w:t>$</w:t>
      </w:r>
      <w:r w:rsidR="00B04FAC">
        <w:rPr>
          <w:bCs/>
        </w:rPr>
        <w:t>427.5</w:t>
      </w:r>
      <w:r w:rsidR="006D07ED" w:rsidRPr="00D00BAF">
        <w:rPr>
          <w:bCs/>
        </w:rPr>
        <w:t xml:space="preserve"> </w:t>
      </w:r>
      <w:r w:rsidRPr="00D00BAF">
        <w:rPr>
          <w:bCs/>
        </w:rPr>
        <w:t>respectivamente, montos que incluye capital más intereses.</w:t>
      </w:r>
    </w:p>
    <w:p w:rsidR="004D1BE6" w:rsidRDefault="004D1BE6">
      <w:pPr>
        <w:pStyle w:val="Textoindependiente2"/>
        <w:tabs>
          <w:tab w:val="clear" w:pos="-2160"/>
          <w:tab w:val="clear" w:pos="-1980"/>
        </w:tabs>
        <w:rPr>
          <w:bCs/>
          <w:lang w:val="es-ES_tradnl"/>
        </w:rPr>
      </w:pPr>
    </w:p>
    <w:p w:rsidR="00027CAD" w:rsidRPr="00D00BAF" w:rsidRDefault="00027CAD">
      <w:pPr>
        <w:pStyle w:val="Textoindependiente2"/>
        <w:tabs>
          <w:tab w:val="clear" w:pos="-2160"/>
          <w:tab w:val="clear" w:pos="-1980"/>
        </w:tabs>
        <w:rPr>
          <w:bCs/>
          <w:lang w:val="es-ES_tradnl"/>
        </w:rPr>
      </w:pPr>
    </w:p>
    <w:p w:rsidR="000E0885" w:rsidRPr="00FE78FF" w:rsidRDefault="00941256">
      <w:pPr>
        <w:pStyle w:val="Textoindependiente"/>
        <w:numPr>
          <w:ilvl w:val="0"/>
          <w:numId w:val="6"/>
        </w:numPr>
        <w:tabs>
          <w:tab w:val="clear" w:pos="720"/>
          <w:tab w:val="clear" w:pos="1296"/>
          <w:tab w:val="clear" w:pos="2016"/>
          <w:tab w:val="left" w:pos="-2160"/>
          <w:tab w:val="left" w:pos="-1980"/>
        </w:tabs>
        <w:jc w:val="both"/>
        <w:rPr>
          <w:rStyle w:val="Hipervnculo"/>
          <w:rFonts w:ascii="Times New Roman" w:hAnsi="Times New Roman"/>
          <w:color w:val="auto"/>
          <w:u w:val="none"/>
        </w:rPr>
      </w:pPr>
      <w:r w:rsidRPr="0067285E">
        <w:rPr>
          <w:rFonts w:ascii="Times New Roman" w:hAnsi="Times New Roman"/>
        </w:rPr>
        <w:lastRenderedPageBreak/>
        <w:t xml:space="preserve">  </w:t>
      </w:r>
      <w:r w:rsidR="00645C92" w:rsidRPr="0067285E">
        <w:rPr>
          <w:rFonts w:ascii="Times New Roman" w:hAnsi="Times New Roman"/>
        </w:rPr>
        <w:fldChar w:fldCharType="begin"/>
      </w:r>
      <w:r w:rsidR="00645C92" w:rsidRPr="0067285E">
        <w:rPr>
          <w:rFonts w:ascii="Times New Roman" w:hAnsi="Times New Roman"/>
        </w:rPr>
        <w:instrText>HYPERLINK "NOTA%2026.pdf"</w:instrText>
      </w:r>
      <w:r w:rsidR="00645C92" w:rsidRPr="0067285E">
        <w:rPr>
          <w:rFonts w:ascii="Times New Roman" w:hAnsi="Times New Roman"/>
        </w:rPr>
        <w:fldChar w:fldCharType="separate"/>
      </w:r>
      <w:r w:rsidR="000E0885" w:rsidRPr="00FE78FF">
        <w:rPr>
          <w:rStyle w:val="Hipervnculo"/>
          <w:rFonts w:ascii="Times New Roman" w:hAnsi="Times New Roman"/>
          <w:color w:val="auto"/>
          <w:u w:val="none"/>
        </w:rPr>
        <w:t>GASTOS DE OPERACIÓN</w:t>
      </w:r>
    </w:p>
    <w:p w:rsidR="000E0885" w:rsidRPr="00BA3DE2" w:rsidRDefault="00645C92" w:rsidP="00226AB1">
      <w:pPr>
        <w:rPr>
          <w:color w:val="00B050"/>
        </w:rPr>
      </w:pPr>
      <w:r w:rsidRPr="0067285E">
        <w:rPr>
          <w:b/>
          <w:snapToGrid w:val="0"/>
          <w:sz w:val="24"/>
          <w:lang w:val="es-ES_tradnl"/>
        </w:rPr>
        <w:fldChar w:fldCharType="end"/>
      </w:r>
    </w:p>
    <w:p w:rsidR="004D1BE6" w:rsidRPr="00D00BAF" w:rsidRDefault="004D1BE6" w:rsidP="004D1BE6">
      <w:bookmarkStart w:id="392" w:name="_MON_1387784843"/>
      <w:bookmarkStart w:id="393" w:name="_MON_1387784858"/>
      <w:bookmarkStart w:id="394" w:name="_MON_1395472976"/>
      <w:bookmarkStart w:id="395" w:name="_MON_1402828359"/>
      <w:bookmarkStart w:id="396" w:name="_MON_1402828429"/>
      <w:bookmarkStart w:id="397" w:name="_MON_1402828463"/>
      <w:bookmarkStart w:id="398" w:name="_MON_1402983265"/>
      <w:bookmarkStart w:id="399" w:name="_MON_1434529683"/>
      <w:bookmarkStart w:id="400" w:name="_MON_1442392848"/>
      <w:bookmarkStart w:id="401" w:name="_MON_1442392892"/>
      <w:bookmarkStart w:id="402" w:name="_MON_1451293090"/>
      <w:bookmarkStart w:id="403" w:name="_MON_1451474805"/>
      <w:bookmarkStart w:id="404" w:name="_MON_1459768714"/>
      <w:bookmarkStart w:id="405" w:name="_MON_1387784573"/>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bookmarkStart w:id="406" w:name="_MON_1434782624"/>
    <w:bookmarkStart w:id="407" w:name="_MON_1442738123"/>
    <w:bookmarkStart w:id="408" w:name="_MON_1458368219"/>
    <w:bookmarkStart w:id="409" w:name="_MON_1458373079"/>
    <w:bookmarkStart w:id="410" w:name="_MON_1442391623"/>
    <w:bookmarkEnd w:id="406"/>
    <w:bookmarkEnd w:id="407"/>
    <w:bookmarkEnd w:id="408"/>
    <w:bookmarkEnd w:id="409"/>
    <w:bookmarkEnd w:id="410"/>
    <w:bookmarkStart w:id="411" w:name="_MON_1395493886"/>
    <w:bookmarkEnd w:id="411"/>
    <w:p w:rsidR="004D1BE6" w:rsidRPr="00D00BAF" w:rsidRDefault="00760D1D" w:rsidP="004D1BE6">
      <w:pPr>
        <w:rPr>
          <w:b/>
          <w:bCs/>
          <w:sz w:val="24"/>
          <w:shd w:val="clear" w:color="auto" w:fill="99CC00"/>
        </w:rPr>
      </w:pPr>
      <w:r w:rsidRPr="00277151">
        <w:object w:dxaOrig="7889" w:dyaOrig="3073">
          <v:shape id="_x0000_i1032" type="#_x0000_t75" style="width:439pt;height:179.5pt" o:ole="" fillcolor="window">
            <v:imagedata r:id="rId29" o:title=""/>
          </v:shape>
          <o:OLEObject Type="Embed" ProgID="Excel.Sheet.8" ShapeID="_x0000_i1032" DrawAspect="Content" ObjectID="_1523254134" r:id="rId30"/>
        </w:object>
      </w:r>
    </w:p>
    <w:p w:rsidR="005F1846" w:rsidRPr="00D00BAF" w:rsidRDefault="005F1846" w:rsidP="005972EB"/>
    <w:p w:rsidR="00BA1854" w:rsidRPr="00D00BAF" w:rsidRDefault="00BA1854" w:rsidP="005F1846"/>
    <w:p w:rsidR="000E0885" w:rsidRPr="00FE78FF" w:rsidRDefault="00941256">
      <w:pPr>
        <w:pStyle w:val="Textoindependiente"/>
        <w:numPr>
          <w:ilvl w:val="0"/>
          <w:numId w:val="6"/>
        </w:numPr>
        <w:tabs>
          <w:tab w:val="clear" w:pos="720"/>
          <w:tab w:val="clear" w:pos="1296"/>
          <w:tab w:val="clear" w:pos="2016"/>
          <w:tab w:val="left" w:pos="-2160"/>
          <w:tab w:val="left" w:pos="-1980"/>
        </w:tabs>
        <w:jc w:val="both"/>
        <w:rPr>
          <w:rFonts w:ascii="Times New Roman" w:hAnsi="Times New Roman"/>
        </w:rPr>
      </w:pPr>
      <w:r w:rsidRPr="0067285E">
        <w:rPr>
          <w:rFonts w:ascii="Times New Roman" w:hAnsi="Times New Roman"/>
        </w:rPr>
        <w:t xml:space="preserve">  </w:t>
      </w:r>
      <w:hyperlink r:id="rId31" w:history="1">
        <w:r w:rsidR="000E0885" w:rsidRPr="00FE78FF">
          <w:rPr>
            <w:rStyle w:val="Hipervnculo"/>
            <w:rFonts w:ascii="Times New Roman" w:hAnsi="Times New Roman"/>
            <w:color w:val="auto"/>
            <w:u w:val="none"/>
          </w:rPr>
          <w:t>FIDEICOMISOS</w:t>
        </w:r>
      </w:hyperlink>
    </w:p>
    <w:p w:rsidR="00870A76" w:rsidRPr="00D00BAF" w:rsidRDefault="00870A76" w:rsidP="00870A76">
      <w:pPr>
        <w:tabs>
          <w:tab w:val="left" w:pos="-2160"/>
          <w:tab w:val="left" w:pos="-1980"/>
          <w:tab w:val="left" w:pos="709"/>
        </w:tabs>
        <w:snapToGrid w:val="0"/>
        <w:jc w:val="both"/>
        <w:rPr>
          <w:b/>
          <w:sz w:val="24"/>
        </w:rPr>
      </w:pPr>
    </w:p>
    <w:p w:rsidR="00760D1D" w:rsidRPr="008B4E41" w:rsidRDefault="00760D1D" w:rsidP="00760D1D">
      <w:pPr>
        <w:tabs>
          <w:tab w:val="left" w:pos="4678"/>
          <w:tab w:val="left" w:pos="6663"/>
        </w:tabs>
        <w:snapToGrid w:val="0"/>
        <w:jc w:val="both"/>
        <w:rPr>
          <w:sz w:val="24"/>
        </w:rPr>
      </w:pPr>
      <w:bookmarkStart w:id="412" w:name="_MON_1435393127"/>
      <w:bookmarkStart w:id="413" w:name="_MON_1327407214"/>
      <w:bookmarkStart w:id="414" w:name="_MON_1332914381"/>
      <w:bookmarkEnd w:id="412"/>
      <w:bookmarkEnd w:id="413"/>
      <w:bookmarkEnd w:id="414"/>
      <w:r>
        <w:rPr>
          <w:sz w:val="24"/>
        </w:rPr>
        <w:t>Al 31 de marzo de 2016 y 2015</w:t>
      </w:r>
      <w:r w:rsidRPr="008B4E41">
        <w:rPr>
          <w:sz w:val="24"/>
        </w:rPr>
        <w:t xml:space="preserve">, el Banco no tenía Fideicomisos puros y el detalle que se presenta corresponde a fondos en administración. </w:t>
      </w:r>
    </w:p>
    <w:p w:rsidR="00760D1D" w:rsidRPr="00F4137A" w:rsidRDefault="00760D1D" w:rsidP="00760D1D">
      <w:pPr>
        <w:tabs>
          <w:tab w:val="left" w:pos="-2160"/>
          <w:tab w:val="left" w:pos="-1980"/>
          <w:tab w:val="left" w:pos="709"/>
        </w:tabs>
        <w:snapToGrid w:val="0"/>
        <w:jc w:val="both"/>
      </w:pPr>
    </w:p>
    <w:bookmarkStart w:id="415" w:name="_MON_1427287048"/>
    <w:bookmarkEnd w:id="415"/>
    <w:bookmarkStart w:id="416" w:name="_MON_1442921240"/>
    <w:bookmarkEnd w:id="416"/>
    <w:p w:rsidR="00760D1D" w:rsidRPr="00F4137A" w:rsidRDefault="00760D1D" w:rsidP="00760D1D">
      <w:pPr>
        <w:tabs>
          <w:tab w:val="left" w:pos="-2160"/>
          <w:tab w:val="left" w:pos="-1980"/>
          <w:tab w:val="left" w:pos="709"/>
        </w:tabs>
        <w:snapToGrid w:val="0"/>
        <w:jc w:val="both"/>
      </w:pPr>
      <w:r w:rsidRPr="00F4137A">
        <w:object w:dxaOrig="8438" w:dyaOrig="3306">
          <v:shape id="_x0000_i1033" type="#_x0000_t75" style="width:439.5pt;height:158pt" o:ole="" fillcolor="window">
            <v:imagedata r:id="rId32" o:title=""/>
          </v:shape>
          <o:OLEObject Type="Embed" ProgID="Excel.Sheet.8" ShapeID="_x0000_i1033" DrawAspect="Content" ObjectID="_1523254135" r:id="rId33"/>
        </w:object>
      </w:r>
    </w:p>
    <w:p w:rsidR="00760D1D" w:rsidRPr="008B4E41" w:rsidRDefault="00760D1D" w:rsidP="00760D1D">
      <w:pPr>
        <w:tabs>
          <w:tab w:val="left" w:pos="-2160"/>
          <w:tab w:val="left" w:pos="-1980"/>
          <w:tab w:val="left" w:pos="709"/>
        </w:tabs>
        <w:snapToGrid w:val="0"/>
        <w:jc w:val="both"/>
      </w:pPr>
    </w:p>
    <w:p w:rsidR="00760D1D" w:rsidRDefault="00760D1D" w:rsidP="00760D1D">
      <w:pPr>
        <w:tabs>
          <w:tab w:val="left" w:pos="-2160"/>
          <w:tab w:val="left" w:pos="-1980"/>
          <w:tab w:val="left" w:pos="709"/>
        </w:tabs>
        <w:jc w:val="both"/>
        <w:rPr>
          <w:snapToGrid w:val="0"/>
          <w:sz w:val="24"/>
        </w:rPr>
      </w:pPr>
      <w:r w:rsidRPr="008B4E41">
        <w:rPr>
          <w:snapToGrid w:val="0"/>
          <w:sz w:val="24"/>
        </w:rPr>
        <w:t xml:space="preserve">Los resultados de los programas anteriores, responden a las políticas de gestión, emanadas por sus propietarios. </w:t>
      </w:r>
    </w:p>
    <w:p w:rsidR="00B04FAC" w:rsidRDefault="00B04FAC" w:rsidP="00760D1D">
      <w:pPr>
        <w:tabs>
          <w:tab w:val="left" w:pos="-2160"/>
          <w:tab w:val="left" w:pos="-1980"/>
          <w:tab w:val="left" w:pos="709"/>
        </w:tabs>
        <w:jc w:val="both"/>
        <w:rPr>
          <w:snapToGrid w:val="0"/>
          <w:sz w:val="24"/>
        </w:rPr>
      </w:pPr>
    </w:p>
    <w:p w:rsidR="00760D1D" w:rsidRPr="008B4E41" w:rsidRDefault="00760D1D" w:rsidP="00760D1D">
      <w:pPr>
        <w:tabs>
          <w:tab w:val="left" w:pos="-2160"/>
          <w:tab w:val="left" w:pos="-1980"/>
          <w:tab w:val="left" w:pos="709"/>
        </w:tabs>
        <w:jc w:val="both"/>
        <w:rPr>
          <w:snapToGrid w:val="0"/>
          <w:sz w:val="24"/>
        </w:rPr>
      </w:pPr>
    </w:p>
    <w:p w:rsidR="000E0885" w:rsidRPr="00FE78FF" w:rsidRDefault="001366FA">
      <w:pPr>
        <w:pStyle w:val="Textoindependiente"/>
        <w:numPr>
          <w:ilvl w:val="0"/>
          <w:numId w:val="6"/>
        </w:numPr>
        <w:tabs>
          <w:tab w:val="clear" w:pos="720"/>
          <w:tab w:val="clear" w:pos="1296"/>
          <w:tab w:val="clear" w:pos="2016"/>
          <w:tab w:val="left" w:pos="-2160"/>
          <w:tab w:val="left" w:pos="-1980"/>
        </w:tabs>
        <w:jc w:val="both"/>
        <w:rPr>
          <w:rStyle w:val="Hipervnculo"/>
          <w:rFonts w:ascii="Times New Roman" w:hAnsi="Times New Roman"/>
          <w:bCs/>
          <w:color w:val="auto"/>
          <w:u w:val="none"/>
        </w:rPr>
      </w:pPr>
      <w:r w:rsidRPr="0067285E">
        <w:rPr>
          <w:rFonts w:ascii="Times New Roman" w:hAnsi="Times New Roman"/>
          <w:bCs/>
        </w:rPr>
        <w:t xml:space="preserve"> </w:t>
      </w:r>
      <w:r w:rsidR="007E6530" w:rsidRPr="00FE78FF">
        <w:rPr>
          <w:rFonts w:ascii="Times New Roman" w:hAnsi="Times New Roman"/>
          <w:bCs/>
        </w:rPr>
        <w:t xml:space="preserve"> </w:t>
      </w:r>
      <w:r w:rsidR="0046524C" w:rsidRPr="00FE78FF">
        <w:rPr>
          <w:rFonts w:ascii="Times New Roman" w:hAnsi="Times New Roman"/>
          <w:bCs/>
        </w:rPr>
        <w:fldChar w:fldCharType="begin"/>
      </w:r>
      <w:r w:rsidR="00182B43" w:rsidRPr="00FE78FF">
        <w:rPr>
          <w:rFonts w:ascii="Times New Roman" w:hAnsi="Times New Roman"/>
          <w:bCs/>
        </w:rPr>
        <w:instrText>HYPERLINK "NOTA%2028.pdf"</w:instrText>
      </w:r>
      <w:r w:rsidR="0046524C" w:rsidRPr="00FE78FF">
        <w:rPr>
          <w:rFonts w:ascii="Times New Roman" w:hAnsi="Times New Roman"/>
          <w:bCs/>
        </w:rPr>
        <w:fldChar w:fldCharType="separate"/>
      </w:r>
      <w:r w:rsidR="000E0885" w:rsidRPr="00FE78FF">
        <w:rPr>
          <w:rStyle w:val="Hipervnculo"/>
          <w:rFonts w:ascii="Times New Roman" w:hAnsi="Times New Roman"/>
          <w:bCs/>
          <w:color w:val="auto"/>
          <w:u w:val="none"/>
        </w:rPr>
        <w:t>INDICADORES RELATIVOS A LA CARGA DE RECURSO HUMANO</w:t>
      </w:r>
    </w:p>
    <w:p w:rsidR="00E927E6" w:rsidRPr="00D00BAF" w:rsidRDefault="0046524C" w:rsidP="00E927E6">
      <w:pPr>
        <w:pStyle w:val="Sangra2detindependiente"/>
        <w:tabs>
          <w:tab w:val="clear" w:pos="-2160"/>
          <w:tab w:val="clear" w:pos="-1980"/>
        </w:tabs>
        <w:ind w:left="0"/>
        <w:rPr>
          <w:lang w:val="es-ES"/>
        </w:rPr>
      </w:pPr>
      <w:r w:rsidRPr="00FE78FF">
        <w:rPr>
          <w:b/>
          <w:bCs/>
        </w:rPr>
        <w:fldChar w:fldCharType="end"/>
      </w:r>
    </w:p>
    <w:p w:rsidR="00870A76" w:rsidRPr="00D00BAF" w:rsidRDefault="00D34886" w:rsidP="00870A76">
      <w:pPr>
        <w:snapToGrid w:val="0"/>
        <w:jc w:val="both"/>
        <w:rPr>
          <w:sz w:val="24"/>
        </w:rPr>
      </w:pPr>
      <w:r w:rsidRPr="00D34886">
        <w:rPr>
          <w:sz w:val="24"/>
        </w:rPr>
        <w:t>Durante los períodos reportados el Banco ha mantenido un promedio de 1,025 y 959 empleados, respectivamente</w:t>
      </w:r>
      <w:r w:rsidR="00870A76" w:rsidRPr="00D00BAF">
        <w:rPr>
          <w:sz w:val="24"/>
        </w:rPr>
        <w:t>.</w:t>
      </w:r>
    </w:p>
    <w:p w:rsidR="00870A76" w:rsidRPr="00D00BAF" w:rsidRDefault="00870A76" w:rsidP="00870A76">
      <w:pPr>
        <w:snapToGrid w:val="0"/>
        <w:jc w:val="both"/>
        <w:rPr>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1863"/>
        <w:gridCol w:w="2328"/>
        <w:gridCol w:w="2329"/>
      </w:tblGrid>
      <w:tr w:rsidR="00870A76" w:rsidRPr="00D00BAF" w:rsidTr="004F64BF">
        <w:trPr>
          <w:trHeight w:val="387"/>
        </w:trPr>
        <w:tc>
          <w:tcPr>
            <w:tcW w:w="931" w:type="dxa"/>
          </w:tcPr>
          <w:p w:rsidR="00870A76" w:rsidRPr="00D00BAF" w:rsidRDefault="00870A76" w:rsidP="00870A76">
            <w:pPr>
              <w:jc w:val="center"/>
              <w:rPr>
                <w:b/>
              </w:rPr>
            </w:pPr>
          </w:p>
          <w:p w:rsidR="00870A76" w:rsidRPr="00D00BAF" w:rsidRDefault="00870A76" w:rsidP="00870A76">
            <w:pPr>
              <w:keepNext/>
              <w:jc w:val="center"/>
              <w:outlineLvl w:val="7"/>
              <w:rPr>
                <w:b/>
              </w:rPr>
            </w:pPr>
            <w:r w:rsidRPr="00D00BAF">
              <w:rPr>
                <w:b/>
              </w:rPr>
              <w:t>AÑO</w:t>
            </w:r>
          </w:p>
        </w:tc>
        <w:tc>
          <w:tcPr>
            <w:tcW w:w="1863" w:type="dxa"/>
          </w:tcPr>
          <w:p w:rsidR="00870A76" w:rsidRPr="00D00BAF" w:rsidRDefault="00870A76" w:rsidP="00870A76">
            <w:pPr>
              <w:snapToGrid w:val="0"/>
              <w:jc w:val="center"/>
              <w:rPr>
                <w:b/>
              </w:rPr>
            </w:pPr>
            <w:r w:rsidRPr="00D00BAF">
              <w:rPr>
                <w:b/>
              </w:rPr>
              <w:t>PROMEDIO</w:t>
            </w:r>
          </w:p>
          <w:p w:rsidR="00870A76" w:rsidRPr="00D00BAF" w:rsidRDefault="00870A76" w:rsidP="00870A76">
            <w:pPr>
              <w:snapToGrid w:val="0"/>
              <w:jc w:val="center"/>
              <w:rPr>
                <w:b/>
              </w:rPr>
            </w:pPr>
            <w:r w:rsidRPr="00D00BAF">
              <w:rPr>
                <w:b/>
              </w:rPr>
              <w:t>EMPLEADOS</w:t>
            </w:r>
          </w:p>
        </w:tc>
        <w:tc>
          <w:tcPr>
            <w:tcW w:w="2328" w:type="dxa"/>
          </w:tcPr>
          <w:p w:rsidR="00870A76" w:rsidRPr="00D00BAF" w:rsidRDefault="00870A76" w:rsidP="00870A76">
            <w:pPr>
              <w:snapToGrid w:val="0"/>
              <w:jc w:val="center"/>
              <w:rPr>
                <w:b/>
              </w:rPr>
            </w:pPr>
            <w:r w:rsidRPr="00D00BAF">
              <w:rPr>
                <w:b/>
              </w:rPr>
              <w:t>% EMPLEADOS</w:t>
            </w:r>
          </w:p>
          <w:p w:rsidR="00870A76" w:rsidRPr="00D00BAF" w:rsidRDefault="00870A76" w:rsidP="00870A76">
            <w:pPr>
              <w:snapToGrid w:val="0"/>
              <w:jc w:val="center"/>
              <w:rPr>
                <w:b/>
              </w:rPr>
            </w:pPr>
            <w:r w:rsidRPr="00D00BAF">
              <w:rPr>
                <w:b/>
              </w:rPr>
              <w:t>NEGOCIOS FINANC.</w:t>
            </w:r>
          </w:p>
        </w:tc>
        <w:tc>
          <w:tcPr>
            <w:tcW w:w="2329" w:type="dxa"/>
          </w:tcPr>
          <w:p w:rsidR="00870A76" w:rsidRPr="00D00BAF" w:rsidRDefault="00870A76" w:rsidP="00870A76">
            <w:pPr>
              <w:snapToGrid w:val="0"/>
              <w:jc w:val="center"/>
              <w:rPr>
                <w:b/>
              </w:rPr>
            </w:pPr>
            <w:r w:rsidRPr="00D00BAF">
              <w:rPr>
                <w:b/>
              </w:rPr>
              <w:t>% EMPLEADOS</w:t>
            </w:r>
          </w:p>
          <w:p w:rsidR="00870A76" w:rsidRPr="00D00BAF" w:rsidRDefault="00870A76" w:rsidP="00870A76">
            <w:pPr>
              <w:snapToGrid w:val="0"/>
              <w:jc w:val="center"/>
              <w:rPr>
                <w:b/>
              </w:rPr>
            </w:pPr>
            <w:r w:rsidRPr="00D00BAF">
              <w:rPr>
                <w:b/>
              </w:rPr>
              <w:t>DE APOYO</w:t>
            </w:r>
          </w:p>
        </w:tc>
      </w:tr>
      <w:tr w:rsidR="00870A76" w:rsidRPr="00D00BAF" w:rsidTr="004F64BF">
        <w:trPr>
          <w:trHeight w:val="217"/>
        </w:trPr>
        <w:tc>
          <w:tcPr>
            <w:tcW w:w="931" w:type="dxa"/>
          </w:tcPr>
          <w:p w:rsidR="00870A76" w:rsidRPr="00D00BAF" w:rsidRDefault="00870A76" w:rsidP="00870A76">
            <w:pPr>
              <w:snapToGrid w:val="0"/>
              <w:jc w:val="center"/>
              <w:rPr>
                <w:b/>
                <w:bCs/>
              </w:rPr>
            </w:pPr>
            <w:r w:rsidRPr="00D00BAF">
              <w:rPr>
                <w:b/>
                <w:bCs/>
              </w:rPr>
              <w:t>201</w:t>
            </w:r>
            <w:r w:rsidR="00D34886">
              <w:rPr>
                <w:b/>
                <w:bCs/>
              </w:rPr>
              <w:t>6</w:t>
            </w:r>
          </w:p>
        </w:tc>
        <w:tc>
          <w:tcPr>
            <w:tcW w:w="1863" w:type="dxa"/>
          </w:tcPr>
          <w:p w:rsidR="00870A76" w:rsidRPr="00D00BAF" w:rsidRDefault="00D34886" w:rsidP="00870A76">
            <w:pPr>
              <w:tabs>
                <w:tab w:val="left" w:pos="420"/>
                <w:tab w:val="center" w:pos="639"/>
              </w:tabs>
              <w:snapToGrid w:val="0"/>
              <w:jc w:val="center"/>
            </w:pPr>
            <w:r>
              <w:t>1,025</w:t>
            </w:r>
          </w:p>
        </w:tc>
        <w:tc>
          <w:tcPr>
            <w:tcW w:w="2328" w:type="dxa"/>
          </w:tcPr>
          <w:p w:rsidR="00870A76" w:rsidRPr="00D00BAF" w:rsidRDefault="00870A76" w:rsidP="00870A76">
            <w:pPr>
              <w:snapToGrid w:val="0"/>
              <w:jc w:val="center"/>
            </w:pPr>
            <w:r w:rsidRPr="00D00BAF">
              <w:t>78.</w:t>
            </w:r>
            <w:r w:rsidR="00D34886">
              <w:t>0</w:t>
            </w:r>
          </w:p>
        </w:tc>
        <w:tc>
          <w:tcPr>
            <w:tcW w:w="2329" w:type="dxa"/>
          </w:tcPr>
          <w:p w:rsidR="00870A76" w:rsidRPr="00D00BAF" w:rsidRDefault="00D34886" w:rsidP="00870A76">
            <w:pPr>
              <w:snapToGrid w:val="0"/>
              <w:jc w:val="center"/>
            </w:pPr>
            <w:r>
              <w:t>22.0</w:t>
            </w:r>
          </w:p>
        </w:tc>
      </w:tr>
      <w:tr w:rsidR="00870A76" w:rsidRPr="00D00BAF" w:rsidTr="004F64BF">
        <w:trPr>
          <w:trHeight w:val="230"/>
        </w:trPr>
        <w:tc>
          <w:tcPr>
            <w:tcW w:w="931" w:type="dxa"/>
          </w:tcPr>
          <w:p w:rsidR="00870A76" w:rsidRPr="00D00BAF" w:rsidRDefault="00870A76" w:rsidP="00870A76">
            <w:pPr>
              <w:snapToGrid w:val="0"/>
              <w:jc w:val="center"/>
              <w:rPr>
                <w:b/>
                <w:bCs/>
              </w:rPr>
            </w:pPr>
            <w:r w:rsidRPr="00D00BAF">
              <w:rPr>
                <w:b/>
                <w:bCs/>
              </w:rPr>
              <w:t>201</w:t>
            </w:r>
            <w:r w:rsidR="00D34886">
              <w:rPr>
                <w:b/>
                <w:bCs/>
              </w:rPr>
              <w:t>5</w:t>
            </w:r>
          </w:p>
        </w:tc>
        <w:tc>
          <w:tcPr>
            <w:tcW w:w="1863" w:type="dxa"/>
          </w:tcPr>
          <w:p w:rsidR="00870A76" w:rsidRPr="00D00BAF" w:rsidRDefault="00870A76" w:rsidP="00870A76">
            <w:pPr>
              <w:snapToGrid w:val="0"/>
              <w:jc w:val="center"/>
            </w:pPr>
            <w:r w:rsidRPr="00D00BAF">
              <w:t>9</w:t>
            </w:r>
            <w:r w:rsidR="00D34886">
              <w:t>59</w:t>
            </w:r>
          </w:p>
        </w:tc>
        <w:tc>
          <w:tcPr>
            <w:tcW w:w="2328" w:type="dxa"/>
          </w:tcPr>
          <w:p w:rsidR="00870A76" w:rsidRPr="00D00BAF" w:rsidRDefault="00870A76" w:rsidP="00870A76">
            <w:pPr>
              <w:snapToGrid w:val="0"/>
              <w:jc w:val="center"/>
            </w:pPr>
            <w:r w:rsidRPr="00D00BAF">
              <w:t>7</w:t>
            </w:r>
            <w:r w:rsidR="00D34886">
              <w:t>8.0</w:t>
            </w:r>
          </w:p>
        </w:tc>
        <w:tc>
          <w:tcPr>
            <w:tcW w:w="2329" w:type="dxa"/>
          </w:tcPr>
          <w:p w:rsidR="00870A76" w:rsidRPr="00D00BAF" w:rsidRDefault="00D34886" w:rsidP="00870A76">
            <w:pPr>
              <w:snapToGrid w:val="0"/>
              <w:jc w:val="center"/>
            </w:pPr>
            <w:r w:rsidRPr="00D34886">
              <w:t>22.0</w:t>
            </w:r>
          </w:p>
        </w:tc>
      </w:tr>
    </w:tbl>
    <w:p w:rsidR="00870A76" w:rsidRDefault="00870A76" w:rsidP="00870A76">
      <w:pPr>
        <w:rPr>
          <w:snapToGrid w:val="0"/>
          <w:sz w:val="24"/>
          <w:lang w:val="es-ES_tradnl"/>
        </w:rPr>
      </w:pPr>
      <w:r w:rsidRPr="00D00BAF">
        <w:rPr>
          <w:snapToGrid w:val="0"/>
          <w:sz w:val="24"/>
          <w:lang w:val="es-ES_tradnl"/>
        </w:rPr>
        <w:lastRenderedPageBreak/>
        <w:t xml:space="preserve">El incremento de personal  se debe </w:t>
      </w:r>
      <w:r w:rsidR="00A13306">
        <w:rPr>
          <w:snapToGrid w:val="0"/>
          <w:sz w:val="24"/>
          <w:lang w:val="es-ES_tradnl"/>
        </w:rPr>
        <w:t xml:space="preserve">al aumento de las operaciones y </w:t>
      </w:r>
      <w:r w:rsidRPr="00D00BAF">
        <w:rPr>
          <w:snapToGrid w:val="0"/>
          <w:sz w:val="24"/>
          <w:lang w:val="es-ES_tradnl"/>
        </w:rPr>
        <w:t xml:space="preserve">a la prestación de nuevos  productos </w:t>
      </w:r>
      <w:r w:rsidR="00A13306">
        <w:rPr>
          <w:snapToGrid w:val="0"/>
          <w:sz w:val="24"/>
          <w:lang w:val="es-ES_tradnl"/>
        </w:rPr>
        <w:t>y servicios que ofrece el Banco.</w:t>
      </w:r>
    </w:p>
    <w:p w:rsidR="00A13306" w:rsidRPr="00D34886" w:rsidRDefault="00A13306" w:rsidP="00870A76">
      <w:pPr>
        <w:rPr>
          <w:snapToGrid w:val="0"/>
          <w:sz w:val="24"/>
        </w:rPr>
      </w:pPr>
    </w:p>
    <w:p w:rsidR="000E0885" w:rsidRPr="00FE78FF" w:rsidRDefault="007E6530">
      <w:pPr>
        <w:pStyle w:val="Textoindependiente"/>
        <w:numPr>
          <w:ilvl w:val="0"/>
          <w:numId w:val="6"/>
        </w:numPr>
        <w:tabs>
          <w:tab w:val="clear" w:pos="720"/>
          <w:tab w:val="clear" w:pos="1296"/>
          <w:tab w:val="clear" w:pos="2016"/>
          <w:tab w:val="left" w:pos="-2160"/>
          <w:tab w:val="left" w:pos="-1980"/>
        </w:tabs>
        <w:jc w:val="both"/>
        <w:rPr>
          <w:rFonts w:ascii="Times New Roman" w:hAnsi="Times New Roman"/>
        </w:rPr>
      </w:pPr>
      <w:r w:rsidRPr="00FE78FF">
        <w:rPr>
          <w:rFonts w:ascii="Times New Roman" w:hAnsi="Times New Roman"/>
        </w:rPr>
        <w:t xml:space="preserve"> </w:t>
      </w:r>
      <w:hyperlink r:id="rId34" w:history="1">
        <w:r w:rsidR="000E0885" w:rsidRPr="00FE78FF">
          <w:rPr>
            <w:rStyle w:val="Hipervnculo"/>
            <w:rFonts w:ascii="Times New Roman" w:hAnsi="Times New Roman"/>
            <w:color w:val="auto"/>
            <w:u w:val="none"/>
          </w:rPr>
          <w:t>LITIGIOS PENDIENTES</w:t>
        </w:r>
      </w:hyperlink>
    </w:p>
    <w:p w:rsidR="000E0885" w:rsidRPr="00D00BAF" w:rsidRDefault="000E0885">
      <w:pPr>
        <w:rPr>
          <w:b/>
          <w:bCs/>
          <w:sz w:val="24"/>
        </w:rPr>
      </w:pPr>
    </w:p>
    <w:p w:rsidR="00CE3E7F" w:rsidRPr="00CE3E7F" w:rsidRDefault="00CE3E7F" w:rsidP="00CE3E7F">
      <w:pPr>
        <w:pStyle w:val="Sangra2detindependiente"/>
        <w:tabs>
          <w:tab w:val="left" w:pos="709"/>
        </w:tabs>
        <w:rPr>
          <w:snapToGrid/>
          <w:lang w:val="es-ES"/>
        </w:rPr>
      </w:pPr>
      <w:r w:rsidRPr="00CE3E7F">
        <w:rPr>
          <w:snapToGrid/>
          <w:lang w:val="es-ES"/>
        </w:rPr>
        <w:t>El detalle de los litigios pendientes a la fecha de los Estados Financieros es el siguiente:</w:t>
      </w:r>
    </w:p>
    <w:p w:rsidR="00CE3E7F" w:rsidRPr="00CE3E7F" w:rsidRDefault="00CE3E7F" w:rsidP="00CE3E7F">
      <w:pPr>
        <w:pStyle w:val="Sangra2detindependiente"/>
        <w:tabs>
          <w:tab w:val="left" w:pos="709"/>
        </w:tabs>
        <w:rPr>
          <w:snapToGrid/>
          <w:lang w:val="es-ES"/>
        </w:rPr>
      </w:pPr>
    </w:p>
    <w:p w:rsidR="00CE3E7F" w:rsidRDefault="00CE3E7F" w:rsidP="00CE3E7F">
      <w:pPr>
        <w:pStyle w:val="Sangra2detindependiente"/>
        <w:tabs>
          <w:tab w:val="left" w:pos="709"/>
        </w:tabs>
        <w:rPr>
          <w:snapToGrid/>
          <w:lang w:val="es-ES"/>
        </w:rPr>
      </w:pPr>
      <w:r w:rsidRPr="00CE3E7F">
        <w:rPr>
          <w:snapToGrid/>
          <w:lang w:val="es-ES"/>
        </w:rPr>
        <w:t>Al 31 de marzo de 2016 y 2015, se tiene 246 y 242 casos, por montos de $5,101.6 y $2,442.6, respectivamente, en los Juzgados de lo Mercantil por reclamación de créditos.</w:t>
      </w:r>
    </w:p>
    <w:p w:rsidR="00CE3E7F" w:rsidRPr="00CE3E7F" w:rsidRDefault="00CE3E7F" w:rsidP="00CE3E7F">
      <w:pPr>
        <w:pStyle w:val="Sangra2detindependiente"/>
        <w:tabs>
          <w:tab w:val="left" w:pos="709"/>
        </w:tabs>
        <w:rPr>
          <w:snapToGrid/>
          <w:lang w:val="es-ES"/>
        </w:rPr>
      </w:pPr>
    </w:p>
    <w:p w:rsidR="00CE3E7F" w:rsidRPr="00CE3E7F" w:rsidRDefault="00CE3E7F" w:rsidP="00CE3E7F">
      <w:pPr>
        <w:pStyle w:val="Sangra2detindependiente"/>
        <w:tabs>
          <w:tab w:val="left" w:pos="709"/>
        </w:tabs>
        <w:rPr>
          <w:snapToGrid/>
          <w:lang w:val="es-ES"/>
        </w:rPr>
      </w:pPr>
      <w:r w:rsidRPr="00CE3E7F">
        <w:rPr>
          <w:snapToGrid/>
          <w:lang w:val="es-ES"/>
        </w:rPr>
        <w:t>Asimismo, a las fechas mencionadas se tiene 1 Juicio Sumario Mercantil por $3,843.7.</w:t>
      </w:r>
    </w:p>
    <w:p w:rsidR="00CE3E7F" w:rsidRPr="00CE3E7F" w:rsidRDefault="00CE3E7F" w:rsidP="00CE3E7F">
      <w:pPr>
        <w:pStyle w:val="Sangra2detindependiente"/>
        <w:tabs>
          <w:tab w:val="left" w:pos="709"/>
        </w:tabs>
        <w:rPr>
          <w:snapToGrid/>
          <w:lang w:val="es-ES"/>
        </w:rPr>
      </w:pPr>
    </w:p>
    <w:p w:rsidR="00CE3E7F" w:rsidRPr="00CE3E7F" w:rsidRDefault="00CE3E7F" w:rsidP="00CE3E7F">
      <w:pPr>
        <w:pStyle w:val="Sangra2detindependiente"/>
        <w:tabs>
          <w:tab w:val="left" w:pos="709"/>
        </w:tabs>
        <w:rPr>
          <w:snapToGrid/>
          <w:lang w:val="es-ES"/>
        </w:rPr>
      </w:pPr>
      <w:r w:rsidRPr="00CE3E7F">
        <w:rPr>
          <w:snapToGrid/>
          <w:lang w:val="es-ES"/>
        </w:rPr>
        <w:t>Al 31/03/16, se tiene un proceso penal promovido contra el Banco.</w:t>
      </w:r>
    </w:p>
    <w:p w:rsidR="00CE3E7F" w:rsidRPr="00CE3E7F" w:rsidRDefault="00CE3E7F" w:rsidP="00CE3E7F">
      <w:pPr>
        <w:pStyle w:val="Sangra2detindependiente"/>
        <w:tabs>
          <w:tab w:val="left" w:pos="709"/>
        </w:tabs>
        <w:rPr>
          <w:snapToGrid/>
          <w:lang w:val="es-ES"/>
        </w:rPr>
      </w:pPr>
    </w:p>
    <w:p w:rsidR="00CE3E7F" w:rsidRPr="00CE3E7F" w:rsidRDefault="00CE3E7F" w:rsidP="00CE3E7F">
      <w:pPr>
        <w:pStyle w:val="Sangra2detindependiente"/>
        <w:tabs>
          <w:tab w:val="left" w:pos="709"/>
        </w:tabs>
        <w:rPr>
          <w:snapToGrid/>
          <w:lang w:val="es-ES"/>
        </w:rPr>
      </w:pPr>
      <w:r w:rsidRPr="00CE3E7F">
        <w:rPr>
          <w:snapToGrid/>
          <w:lang w:val="es-ES"/>
        </w:rPr>
        <w:t>Al 31/03/16, se tienen dos procesos penales promovidos por el Banco por $2.8.</w:t>
      </w:r>
    </w:p>
    <w:p w:rsidR="00CE3E7F" w:rsidRPr="00CE3E7F" w:rsidRDefault="00CE3E7F" w:rsidP="00CE3E7F">
      <w:pPr>
        <w:pStyle w:val="Sangra2detindependiente"/>
        <w:tabs>
          <w:tab w:val="left" w:pos="709"/>
        </w:tabs>
        <w:rPr>
          <w:snapToGrid/>
          <w:lang w:val="es-ES"/>
        </w:rPr>
      </w:pPr>
    </w:p>
    <w:p w:rsidR="00CE3E7F" w:rsidRPr="00CE3E7F" w:rsidRDefault="00CE3E7F" w:rsidP="00CE3E7F">
      <w:pPr>
        <w:pStyle w:val="Sangra2detindependiente"/>
        <w:tabs>
          <w:tab w:val="left" w:pos="709"/>
        </w:tabs>
        <w:rPr>
          <w:snapToGrid/>
          <w:lang w:val="es-ES"/>
        </w:rPr>
      </w:pPr>
      <w:r w:rsidRPr="00CE3E7F">
        <w:rPr>
          <w:snapToGrid/>
          <w:lang w:val="es-ES"/>
        </w:rPr>
        <w:t>Al 31/03/16 y 31/03/15, el Banco ha interpuesto una y dos demandas de amparo por $13.7 y $19.7 respectivamente.</w:t>
      </w:r>
    </w:p>
    <w:p w:rsidR="00CE3E7F" w:rsidRPr="00CE3E7F" w:rsidRDefault="00CE3E7F" w:rsidP="00CE3E7F">
      <w:pPr>
        <w:pStyle w:val="Sangra2detindependiente"/>
        <w:tabs>
          <w:tab w:val="left" w:pos="709"/>
        </w:tabs>
        <w:rPr>
          <w:snapToGrid/>
          <w:lang w:val="es-ES"/>
        </w:rPr>
      </w:pPr>
    </w:p>
    <w:p w:rsidR="00CE3E7F" w:rsidRPr="00CE3E7F" w:rsidRDefault="00CE3E7F" w:rsidP="00CE3E7F">
      <w:pPr>
        <w:pStyle w:val="Sangra2detindependiente"/>
        <w:tabs>
          <w:tab w:val="left" w:pos="709"/>
        </w:tabs>
        <w:rPr>
          <w:snapToGrid/>
          <w:lang w:val="es-ES"/>
        </w:rPr>
      </w:pPr>
      <w:r w:rsidRPr="00CE3E7F">
        <w:rPr>
          <w:snapToGrid/>
          <w:lang w:val="es-ES"/>
        </w:rPr>
        <w:t xml:space="preserve">Al 31 de marzo de 2016 y 2015, se tienen 3 y 2 juicios civiles promovidos contra el </w:t>
      </w:r>
      <w:r w:rsidR="00182B43">
        <w:rPr>
          <w:snapToGrid/>
          <w:lang w:val="es-ES"/>
        </w:rPr>
        <w:t>B</w:t>
      </w:r>
      <w:r w:rsidRPr="00CE3E7F">
        <w:rPr>
          <w:snapToGrid/>
          <w:lang w:val="es-ES"/>
        </w:rPr>
        <w:t>anco por $ 123.1, para ambos periodos.</w:t>
      </w:r>
    </w:p>
    <w:p w:rsidR="00CE3E7F" w:rsidRPr="00CE3E7F" w:rsidRDefault="00CE3E7F" w:rsidP="00CE3E7F">
      <w:pPr>
        <w:pStyle w:val="Sangra2detindependiente"/>
        <w:tabs>
          <w:tab w:val="left" w:pos="709"/>
        </w:tabs>
        <w:rPr>
          <w:snapToGrid/>
          <w:lang w:val="es-ES"/>
        </w:rPr>
      </w:pPr>
    </w:p>
    <w:p w:rsidR="00CE3E7F" w:rsidRPr="00CE3E7F" w:rsidRDefault="00CE3E7F" w:rsidP="00CE3E7F">
      <w:pPr>
        <w:pStyle w:val="Sangra2detindependiente"/>
        <w:tabs>
          <w:tab w:val="left" w:pos="709"/>
        </w:tabs>
        <w:rPr>
          <w:snapToGrid/>
          <w:lang w:val="es-ES"/>
        </w:rPr>
      </w:pPr>
      <w:r w:rsidRPr="00CE3E7F">
        <w:rPr>
          <w:snapToGrid/>
          <w:lang w:val="es-ES"/>
        </w:rPr>
        <w:t>Al 31/03/16 y 31/03/15 se tienen dos procesos laborales contra el Banco por $22.4.</w:t>
      </w:r>
    </w:p>
    <w:p w:rsidR="00CE3E7F" w:rsidRPr="00CE3E7F" w:rsidRDefault="00CE3E7F" w:rsidP="00CE3E7F">
      <w:pPr>
        <w:pStyle w:val="Sangra2detindependiente"/>
        <w:tabs>
          <w:tab w:val="left" w:pos="709"/>
        </w:tabs>
        <w:rPr>
          <w:snapToGrid/>
          <w:lang w:val="es-ES"/>
        </w:rPr>
      </w:pPr>
    </w:p>
    <w:p w:rsidR="00CE3E7F" w:rsidRPr="00CE3E7F" w:rsidRDefault="00CE3E7F" w:rsidP="00CE3E7F">
      <w:pPr>
        <w:pStyle w:val="Sangra2detindependiente"/>
        <w:tabs>
          <w:tab w:val="left" w:pos="709"/>
        </w:tabs>
        <w:rPr>
          <w:snapToGrid/>
          <w:lang w:val="es-ES"/>
        </w:rPr>
      </w:pPr>
      <w:r w:rsidRPr="00CE3E7F">
        <w:rPr>
          <w:snapToGrid/>
          <w:lang w:val="es-ES"/>
        </w:rPr>
        <w:t>Al 31/03/16 se tiene un Juicio civil ordinario de pago de lo no debido promovido por el Banco por $23.6.</w:t>
      </w:r>
    </w:p>
    <w:p w:rsidR="00CE3E7F" w:rsidRPr="00CE3E7F" w:rsidRDefault="00CE3E7F" w:rsidP="00CE3E7F">
      <w:pPr>
        <w:pStyle w:val="Sangra2detindependiente"/>
        <w:tabs>
          <w:tab w:val="left" w:pos="709"/>
        </w:tabs>
        <w:rPr>
          <w:snapToGrid/>
          <w:lang w:val="es-ES"/>
        </w:rPr>
      </w:pPr>
    </w:p>
    <w:p w:rsidR="00CE3E7F" w:rsidRPr="00CE3E7F" w:rsidRDefault="00CE3E7F" w:rsidP="00CE3E7F">
      <w:pPr>
        <w:pStyle w:val="Sangra2detindependiente"/>
        <w:tabs>
          <w:tab w:val="left" w:pos="709"/>
        </w:tabs>
        <w:rPr>
          <w:snapToGrid/>
          <w:lang w:val="es-ES"/>
        </w:rPr>
      </w:pPr>
      <w:r w:rsidRPr="00CE3E7F">
        <w:rPr>
          <w:snapToGrid/>
          <w:lang w:val="es-ES"/>
        </w:rPr>
        <w:t>Al 31/03/15 se tenían en los Juzgados de Instrucción 5 casos,  por un total de  $134.3.</w:t>
      </w:r>
    </w:p>
    <w:p w:rsidR="00CE3E7F" w:rsidRPr="00CE3E7F" w:rsidRDefault="00CE3E7F" w:rsidP="00CE3E7F">
      <w:pPr>
        <w:pStyle w:val="Sangra2detindependiente"/>
        <w:tabs>
          <w:tab w:val="left" w:pos="709"/>
        </w:tabs>
        <w:rPr>
          <w:snapToGrid/>
          <w:lang w:val="es-ES"/>
        </w:rPr>
      </w:pPr>
      <w:r w:rsidRPr="00CE3E7F">
        <w:rPr>
          <w:snapToGrid/>
          <w:lang w:val="es-ES"/>
        </w:rPr>
        <w:t xml:space="preserve"> </w:t>
      </w:r>
    </w:p>
    <w:p w:rsidR="00870A76" w:rsidRPr="00D00BAF" w:rsidRDefault="00CE3E7F" w:rsidP="00CE3E7F">
      <w:pPr>
        <w:pStyle w:val="Sangra2detindependiente"/>
        <w:tabs>
          <w:tab w:val="left" w:pos="709"/>
        </w:tabs>
        <w:rPr>
          <w:lang w:val="es-ES"/>
        </w:rPr>
      </w:pPr>
      <w:r>
        <w:rPr>
          <w:snapToGrid/>
          <w:lang w:val="es-ES"/>
        </w:rPr>
        <w:tab/>
      </w:r>
      <w:r w:rsidRPr="00CE3E7F">
        <w:rPr>
          <w:snapToGrid/>
          <w:lang w:val="es-ES"/>
        </w:rPr>
        <w:t>Al 31/03/15 se tenían 3 Juicios Civiles Ejecutivos, en los cuales el Banco ha demandado el pago de $24.1, respectivamente.</w:t>
      </w:r>
    </w:p>
    <w:p w:rsidR="00870A76" w:rsidRPr="00D00BAF" w:rsidRDefault="00870A76" w:rsidP="00180C82">
      <w:pPr>
        <w:pStyle w:val="Sangra2detindependiente"/>
        <w:tabs>
          <w:tab w:val="left" w:pos="709"/>
        </w:tabs>
        <w:ind w:left="0"/>
        <w:rPr>
          <w:lang w:val="es-ES"/>
        </w:rPr>
      </w:pPr>
    </w:p>
    <w:p w:rsidR="00870A76" w:rsidRPr="00D00BAF" w:rsidRDefault="00870A76" w:rsidP="00180C82">
      <w:pPr>
        <w:pStyle w:val="Sangra2detindependiente"/>
        <w:tabs>
          <w:tab w:val="left" w:pos="709"/>
        </w:tabs>
        <w:ind w:left="0"/>
        <w:rPr>
          <w:lang w:val="es-ES"/>
        </w:rPr>
      </w:pPr>
    </w:p>
    <w:p w:rsidR="000E0885" w:rsidRPr="00FE78FF" w:rsidRDefault="000E0885" w:rsidP="000F3FBA">
      <w:pPr>
        <w:pStyle w:val="Textoindependiente"/>
        <w:numPr>
          <w:ilvl w:val="0"/>
          <w:numId w:val="6"/>
        </w:numPr>
        <w:tabs>
          <w:tab w:val="clear" w:pos="720"/>
          <w:tab w:val="clear" w:pos="1296"/>
          <w:tab w:val="clear" w:pos="2016"/>
          <w:tab w:val="left" w:pos="-2160"/>
          <w:tab w:val="left" w:pos="-1980"/>
        </w:tabs>
        <w:jc w:val="both"/>
        <w:rPr>
          <w:rFonts w:ascii="Times New Roman" w:hAnsi="Times New Roman"/>
          <w:bCs/>
        </w:rPr>
      </w:pPr>
      <w:r w:rsidRPr="00FE78FF">
        <w:rPr>
          <w:rFonts w:ascii="Times New Roman" w:hAnsi="Times New Roman"/>
          <w:bCs/>
          <w:color w:val="00B050"/>
        </w:rPr>
        <w:t xml:space="preserve"> </w:t>
      </w:r>
      <w:hyperlink r:id="rId35" w:history="1">
        <w:r w:rsidRPr="00FE78FF">
          <w:rPr>
            <w:rStyle w:val="Hipervnculo"/>
            <w:rFonts w:ascii="Times New Roman" w:hAnsi="Times New Roman"/>
            <w:bCs/>
            <w:color w:val="auto"/>
            <w:u w:val="none"/>
          </w:rPr>
          <w:t>CRÉDITOS RELACIONADOS</w:t>
        </w:r>
      </w:hyperlink>
    </w:p>
    <w:p w:rsidR="000E0885" w:rsidRPr="0067285E" w:rsidRDefault="000E0885" w:rsidP="000F3FBA">
      <w:pPr>
        <w:rPr>
          <w:b/>
          <w:sz w:val="24"/>
        </w:rPr>
      </w:pPr>
    </w:p>
    <w:p w:rsidR="00760D1D" w:rsidRPr="00A07C95" w:rsidRDefault="00760D1D" w:rsidP="00760D1D">
      <w:pPr>
        <w:jc w:val="both"/>
        <w:rPr>
          <w:sz w:val="24"/>
        </w:rPr>
      </w:pPr>
      <w:r w:rsidRPr="00A07C95">
        <w:rPr>
          <w:sz w:val="24"/>
        </w:rPr>
        <w:t>De conformidad a los artículos 203, 204, 205 y 206 de la Ley de Bancos, se prohíbe que los Bancos, así como sus subsidiarias, otorguen préstamos, créditos, garantías y avales a personas naturales o jurídicas relacionadas directa o indirectamente con la propiedad o en forma directa con la administración de la entidad, ni adquirir valores emitidos por éstas en un monto global superior al cinco por ciento (5%) del capital pagado y reservas de capital de cada una de las entidades consolidadas.</w:t>
      </w:r>
    </w:p>
    <w:p w:rsidR="00760D1D" w:rsidRPr="00A07C95" w:rsidRDefault="00760D1D" w:rsidP="00760D1D">
      <w:pPr>
        <w:jc w:val="both"/>
        <w:rPr>
          <w:sz w:val="24"/>
        </w:rPr>
      </w:pPr>
    </w:p>
    <w:p w:rsidR="00760D1D" w:rsidRPr="00A07C95" w:rsidRDefault="00760D1D" w:rsidP="00760D1D">
      <w:pPr>
        <w:jc w:val="both"/>
        <w:rPr>
          <w:sz w:val="24"/>
        </w:rPr>
      </w:pPr>
      <w:r w:rsidRPr="00A07C95">
        <w:rPr>
          <w:sz w:val="24"/>
        </w:rPr>
        <w:t xml:space="preserve">El capital y reservas de capital al 31 de marzo de 2016 y 2015 es de $21,002.5 y $20,966.3, respectivamente. El total de créditos relacionados es de $809.7 y $902.8 para el 2016 y 2015, </w:t>
      </w:r>
      <w:r w:rsidRPr="00A07C95">
        <w:rPr>
          <w:sz w:val="24"/>
        </w:rPr>
        <w:lastRenderedPageBreak/>
        <w:t>que representa el 3.9% y 4.3% del capital y reservas de capital de la entidad; distribuidos entre  39 y 47 deudores, respectivamente.</w:t>
      </w:r>
    </w:p>
    <w:p w:rsidR="00760D1D" w:rsidRPr="00A07C95" w:rsidRDefault="00760D1D" w:rsidP="00760D1D">
      <w:pPr>
        <w:jc w:val="both"/>
        <w:rPr>
          <w:sz w:val="24"/>
        </w:rPr>
      </w:pPr>
    </w:p>
    <w:p w:rsidR="00760D1D" w:rsidRPr="00A07C95" w:rsidRDefault="00760D1D" w:rsidP="00760D1D">
      <w:pPr>
        <w:jc w:val="both"/>
        <w:rPr>
          <w:sz w:val="24"/>
        </w:rPr>
      </w:pPr>
      <w:r w:rsidRPr="00A07C95">
        <w:rPr>
          <w:sz w:val="24"/>
        </w:rPr>
        <w:t>Durante los períodos reportados el Banco le dio cumplimiento a las disposiciones sobre créditos relacionados antes referidas.</w:t>
      </w:r>
    </w:p>
    <w:p w:rsidR="00144884" w:rsidRDefault="00144884" w:rsidP="00144884">
      <w:pPr>
        <w:jc w:val="both"/>
        <w:rPr>
          <w:sz w:val="24"/>
        </w:rPr>
      </w:pPr>
    </w:p>
    <w:p w:rsidR="009A4C00" w:rsidRPr="008B4E41" w:rsidRDefault="009A4C00" w:rsidP="00144884">
      <w:pPr>
        <w:jc w:val="both"/>
        <w:rPr>
          <w:sz w:val="24"/>
        </w:rPr>
      </w:pPr>
    </w:p>
    <w:p w:rsidR="007D53C1" w:rsidRPr="00FE78FF" w:rsidRDefault="00F7297D" w:rsidP="007D53C1">
      <w:pPr>
        <w:pStyle w:val="Textoindependiente"/>
        <w:numPr>
          <w:ilvl w:val="0"/>
          <w:numId w:val="6"/>
        </w:numPr>
        <w:tabs>
          <w:tab w:val="clear" w:pos="720"/>
          <w:tab w:val="clear" w:pos="1296"/>
          <w:tab w:val="clear" w:pos="2016"/>
          <w:tab w:val="left" w:pos="-2160"/>
          <w:tab w:val="left" w:pos="-1980"/>
        </w:tabs>
        <w:ind w:left="1134" w:hanging="1134"/>
        <w:jc w:val="both"/>
        <w:rPr>
          <w:rStyle w:val="Hipervnculo"/>
          <w:rFonts w:ascii="Times New Roman" w:hAnsi="Times New Roman"/>
          <w:bCs/>
          <w:color w:val="auto"/>
          <w:u w:val="none"/>
        </w:rPr>
      </w:pPr>
      <w:r w:rsidRPr="0067285E">
        <w:rPr>
          <w:rFonts w:ascii="Times New Roman" w:hAnsi="Times New Roman"/>
          <w:bCs/>
        </w:rPr>
        <w:fldChar w:fldCharType="begin"/>
      </w:r>
      <w:r w:rsidR="00DF6D2C" w:rsidRPr="0067285E">
        <w:rPr>
          <w:rFonts w:ascii="Times New Roman" w:hAnsi="Times New Roman"/>
          <w:bCs/>
        </w:rPr>
        <w:instrText>HYPERLINK "NOTA%2038.pdf"</w:instrText>
      </w:r>
      <w:r w:rsidRPr="0067285E">
        <w:rPr>
          <w:rFonts w:ascii="Times New Roman" w:hAnsi="Times New Roman"/>
          <w:bCs/>
        </w:rPr>
        <w:fldChar w:fldCharType="separate"/>
      </w:r>
      <w:r w:rsidR="007D53C1" w:rsidRPr="00FE78FF">
        <w:rPr>
          <w:rStyle w:val="Hipervnculo"/>
          <w:rFonts w:ascii="Times New Roman" w:hAnsi="Times New Roman"/>
          <w:bCs/>
          <w:color w:val="auto"/>
          <w:u w:val="none"/>
        </w:rPr>
        <w:t>REQUERIMIENTO DE FONDO PATRIMONIAL O PATRIMONIO NETO</w:t>
      </w:r>
      <w:r w:rsidR="007D53C1" w:rsidRPr="00FE78FF">
        <w:rPr>
          <w:rStyle w:val="Hipervnculo"/>
          <w:rFonts w:ascii="Times New Roman" w:hAnsi="Times New Roman"/>
          <w:color w:val="auto"/>
          <w:u w:val="none"/>
        </w:rPr>
        <w:t>.</w:t>
      </w:r>
    </w:p>
    <w:p w:rsidR="007D53C1" w:rsidRPr="00D00BAF" w:rsidRDefault="00F7297D" w:rsidP="007D53C1">
      <w:pPr>
        <w:rPr>
          <w:b/>
          <w:bCs/>
          <w:lang w:val="es-ES_tradnl"/>
        </w:rPr>
      </w:pPr>
      <w:r w:rsidRPr="0067285E">
        <w:rPr>
          <w:b/>
          <w:bCs/>
          <w:snapToGrid w:val="0"/>
          <w:sz w:val="24"/>
          <w:lang w:val="es-ES_tradnl"/>
        </w:rPr>
        <w:fldChar w:fldCharType="end"/>
      </w:r>
    </w:p>
    <w:p w:rsidR="007D53C1" w:rsidRPr="00D00BAF" w:rsidRDefault="007D53C1" w:rsidP="007D53C1">
      <w:pPr>
        <w:tabs>
          <w:tab w:val="left" w:pos="-2160"/>
          <w:tab w:val="left" w:pos="-1980"/>
          <w:tab w:val="left" w:pos="709"/>
        </w:tabs>
        <w:snapToGrid w:val="0"/>
        <w:jc w:val="both"/>
        <w:rPr>
          <w:sz w:val="24"/>
        </w:rPr>
      </w:pPr>
      <w:r w:rsidRPr="00D00BAF">
        <w:rPr>
          <w:sz w:val="24"/>
        </w:rPr>
        <w:t>Según el artículo 41 de la Ley de Bancos, con el objeto de mantener constantemente su solvencia, los Bancos deben presentar en todo momento las siguientes relaciones:</w:t>
      </w:r>
    </w:p>
    <w:p w:rsidR="007D53C1" w:rsidRPr="00D00BAF" w:rsidRDefault="007D53C1" w:rsidP="007D53C1">
      <w:pPr>
        <w:tabs>
          <w:tab w:val="left" w:pos="-2160"/>
          <w:tab w:val="left" w:pos="-1980"/>
          <w:tab w:val="left" w:pos="709"/>
        </w:tabs>
        <w:snapToGrid w:val="0"/>
        <w:ind w:left="708"/>
        <w:jc w:val="both"/>
        <w:rPr>
          <w:sz w:val="24"/>
        </w:rPr>
      </w:pPr>
    </w:p>
    <w:p w:rsidR="007D53C1" w:rsidRPr="00D00BAF" w:rsidRDefault="007D53C1" w:rsidP="007D53C1">
      <w:pPr>
        <w:numPr>
          <w:ilvl w:val="0"/>
          <w:numId w:val="7"/>
        </w:numPr>
        <w:tabs>
          <w:tab w:val="left" w:pos="-2160"/>
          <w:tab w:val="left" w:pos="-1980"/>
        </w:tabs>
        <w:snapToGrid w:val="0"/>
        <w:jc w:val="both"/>
        <w:rPr>
          <w:sz w:val="24"/>
        </w:rPr>
      </w:pPr>
      <w:r w:rsidRPr="00D00BAF">
        <w:rPr>
          <w:sz w:val="24"/>
        </w:rPr>
        <w:t>El 12.0% o más entre su fondo patrimonial y la suma de sus activos ponderados.</w:t>
      </w:r>
    </w:p>
    <w:p w:rsidR="007D53C1" w:rsidRPr="00D00BAF" w:rsidRDefault="007D53C1" w:rsidP="007D53C1">
      <w:pPr>
        <w:tabs>
          <w:tab w:val="left" w:pos="-2160"/>
          <w:tab w:val="left" w:pos="-1980"/>
        </w:tabs>
        <w:snapToGrid w:val="0"/>
        <w:ind w:left="720"/>
        <w:jc w:val="both"/>
        <w:rPr>
          <w:sz w:val="24"/>
        </w:rPr>
      </w:pPr>
    </w:p>
    <w:p w:rsidR="007D53C1" w:rsidRPr="00D00BAF" w:rsidRDefault="007D53C1" w:rsidP="007D53C1">
      <w:pPr>
        <w:numPr>
          <w:ilvl w:val="0"/>
          <w:numId w:val="7"/>
        </w:numPr>
        <w:tabs>
          <w:tab w:val="left" w:pos="-2160"/>
          <w:tab w:val="left" w:pos="-1980"/>
        </w:tabs>
        <w:snapToGrid w:val="0"/>
        <w:jc w:val="both"/>
        <w:rPr>
          <w:sz w:val="24"/>
        </w:rPr>
      </w:pPr>
      <w:r w:rsidRPr="00D00BAF">
        <w:rPr>
          <w:sz w:val="24"/>
        </w:rPr>
        <w:t>El 7.0% o más entre el fondo patrimonial y sus obligaciones o pasivos totales con terceros, incluyendo las contingentes.</w:t>
      </w:r>
    </w:p>
    <w:p w:rsidR="007D53C1" w:rsidRPr="00D00BAF" w:rsidRDefault="007D53C1" w:rsidP="007D53C1">
      <w:pPr>
        <w:tabs>
          <w:tab w:val="left" w:pos="-2160"/>
          <w:tab w:val="left" w:pos="-1980"/>
          <w:tab w:val="left" w:pos="709"/>
        </w:tabs>
        <w:snapToGrid w:val="0"/>
        <w:ind w:left="708"/>
        <w:jc w:val="both"/>
        <w:rPr>
          <w:sz w:val="24"/>
        </w:rPr>
      </w:pPr>
    </w:p>
    <w:p w:rsidR="007D53C1" w:rsidRPr="00D00BAF" w:rsidRDefault="007D53C1" w:rsidP="007D53C1">
      <w:pPr>
        <w:numPr>
          <w:ilvl w:val="0"/>
          <w:numId w:val="7"/>
        </w:numPr>
        <w:tabs>
          <w:tab w:val="left" w:pos="-2160"/>
          <w:tab w:val="left" w:pos="-1980"/>
        </w:tabs>
        <w:snapToGrid w:val="0"/>
        <w:jc w:val="both"/>
        <w:rPr>
          <w:sz w:val="24"/>
        </w:rPr>
      </w:pPr>
      <w:r w:rsidRPr="00D00BAF">
        <w:rPr>
          <w:sz w:val="24"/>
        </w:rPr>
        <w:t xml:space="preserve">El 100% o más entre el fondo patrimonial y el capital social pagado a que se refiere el artículo 36 de la Ley de Bancos. </w:t>
      </w:r>
    </w:p>
    <w:p w:rsidR="007D53C1" w:rsidRPr="00D00BAF" w:rsidRDefault="007D53C1" w:rsidP="007D53C1">
      <w:pPr>
        <w:tabs>
          <w:tab w:val="left" w:pos="-2160"/>
          <w:tab w:val="left" w:pos="-1980"/>
          <w:tab w:val="left" w:pos="709"/>
        </w:tabs>
        <w:snapToGrid w:val="0"/>
        <w:ind w:left="708"/>
        <w:jc w:val="both"/>
        <w:rPr>
          <w:sz w:val="24"/>
        </w:rPr>
      </w:pPr>
    </w:p>
    <w:p w:rsidR="007D53C1" w:rsidRPr="00D00BAF" w:rsidRDefault="007D53C1" w:rsidP="007D53C1">
      <w:pPr>
        <w:tabs>
          <w:tab w:val="left" w:pos="-2160"/>
          <w:tab w:val="left" w:pos="-1980"/>
          <w:tab w:val="left" w:pos="709"/>
        </w:tabs>
        <w:snapToGrid w:val="0"/>
        <w:jc w:val="both"/>
        <w:rPr>
          <w:sz w:val="24"/>
        </w:rPr>
      </w:pPr>
      <w:r w:rsidRPr="00D00BAF">
        <w:rPr>
          <w:sz w:val="24"/>
          <w:lang w:val="es-ES_tradnl"/>
        </w:rPr>
        <w:t>Al 31 de</w:t>
      </w:r>
      <w:r>
        <w:rPr>
          <w:sz w:val="24"/>
          <w:lang w:val="es-ES_tradnl"/>
        </w:rPr>
        <w:t xml:space="preserve"> Marzo 2016 y 2015</w:t>
      </w:r>
      <w:r w:rsidRPr="00D00BAF">
        <w:rPr>
          <w:sz w:val="24"/>
          <w:lang w:val="es-ES_tradnl"/>
        </w:rPr>
        <w:t>, la situación del Banco es según lo muestran las siguientes relaciones:</w:t>
      </w:r>
    </w:p>
    <w:p w:rsidR="007D53C1" w:rsidRPr="00D00BAF" w:rsidRDefault="007D53C1" w:rsidP="007D53C1"/>
    <w:bookmarkStart w:id="417" w:name="_MON_1411195574"/>
    <w:bookmarkStart w:id="418" w:name="_MON_1411195676"/>
    <w:bookmarkStart w:id="419" w:name="_MON_1442744417"/>
    <w:bookmarkStart w:id="420" w:name="_MON_1442744459"/>
    <w:bookmarkStart w:id="421" w:name="_MON_1442744559"/>
    <w:bookmarkStart w:id="422" w:name="_MON_1442744721"/>
    <w:bookmarkStart w:id="423" w:name="_MON_1442746175"/>
    <w:bookmarkStart w:id="424" w:name="_MON_1451894523"/>
    <w:bookmarkStart w:id="425" w:name="_MON_1442744483"/>
    <w:bookmarkStart w:id="426" w:name="_MON_1458452249"/>
    <w:bookmarkStart w:id="427" w:name="_MON_1458452442"/>
    <w:bookmarkEnd w:id="417"/>
    <w:bookmarkEnd w:id="418"/>
    <w:bookmarkEnd w:id="419"/>
    <w:bookmarkEnd w:id="420"/>
    <w:bookmarkEnd w:id="421"/>
    <w:bookmarkEnd w:id="422"/>
    <w:bookmarkEnd w:id="423"/>
    <w:bookmarkEnd w:id="424"/>
    <w:bookmarkEnd w:id="425"/>
    <w:bookmarkEnd w:id="426"/>
    <w:bookmarkEnd w:id="427"/>
    <w:bookmarkStart w:id="428" w:name="_MON_1395658218"/>
    <w:bookmarkEnd w:id="428"/>
    <w:p w:rsidR="007D53C1" w:rsidRPr="00D00BAF" w:rsidRDefault="00B04FAC" w:rsidP="007D53C1">
      <w:pPr>
        <w:rPr>
          <w:sz w:val="24"/>
        </w:rPr>
      </w:pPr>
      <w:r w:rsidRPr="00B04FAC">
        <w:object w:dxaOrig="7842" w:dyaOrig="1297">
          <v:shape id="_x0000_i1034" type="#_x0000_t75" style="width:392.5pt;height:65pt" o:ole="" fillcolor="window">
            <v:imagedata r:id="rId36" o:title=""/>
          </v:shape>
          <o:OLEObject Type="Embed" ProgID="Excel.Sheet.8" ShapeID="_x0000_i1034" DrawAspect="Content" ObjectID="_1523254136" r:id="rId37"/>
        </w:object>
      </w:r>
    </w:p>
    <w:p w:rsidR="008F577F" w:rsidRPr="00144884" w:rsidRDefault="008F577F" w:rsidP="007D53C1">
      <w:pPr>
        <w:pStyle w:val="Textoindependiente"/>
        <w:tabs>
          <w:tab w:val="clear" w:pos="720"/>
          <w:tab w:val="clear" w:pos="1296"/>
          <w:tab w:val="clear" w:pos="2016"/>
          <w:tab w:val="left" w:pos="-2160"/>
          <w:tab w:val="left" w:pos="-1980"/>
        </w:tabs>
        <w:jc w:val="both"/>
        <w:rPr>
          <w:rFonts w:ascii="Times New Roman" w:hAnsi="Times New Roman"/>
          <w:bCs/>
          <w:lang w:val="es-ES"/>
        </w:rPr>
      </w:pPr>
    </w:p>
    <w:p w:rsidR="0067285E" w:rsidRPr="00D00BAF" w:rsidRDefault="0067285E" w:rsidP="007D53C1">
      <w:pPr>
        <w:pStyle w:val="Textoindependiente"/>
        <w:tabs>
          <w:tab w:val="clear" w:pos="720"/>
          <w:tab w:val="clear" w:pos="1296"/>
          <w:tab w:val="clear" w:pos="2016"/>
          <w:tab w:val="left" w:pos="-2160"/>
          <w:tab w:val="left" w:pos="-1980"/>
        </w:tabs>
        <w:ind w:left="511"/>
        <w:jc w:val="both"/>
        <w:rPr>
          <w:rFonts w:ascii="Times New Roman" w:hAnsi="Times New Roman"/>
          <w:bCs/>
        </w:rPr>
      </w:pPr>
    </w:p>
    <w:p w:rsidR="000E0885" w:rsidRPr="009A4C00" w:rsidRDefault="00720365" w:rsidP="00F970FA">
      <w:pPr>
        <w:pStyle w:val="Textoindependiente"/>
        <w:numPr>
          <w:ilvl w:val="0"/>
          <w:numId w:val="6"/>
        </w:numPr>
        <w:tabs>
          <w:tab w:val="clear" w:pos="720"/>
          <w:tab w:val="clear" w:pos="1296"/>
          <w:tab w:val="clear" w:pos="2016"/>
          <w:tab w:val="left" w:pos="-2160"/>
          <w:tab w:val="left" w:pos="-1980"/>
        </w:tabs>
        <w:jc w:val="both"/>
        <w:rPr>
          <w:rFonts w:ascii="Times New Roman" w:hAnsi="Times New Roman"/>
          <w:bCs/>
        </w:rPr>
      </w:pPr>
      <w:r w:rsidRPr="00D00BAF">
        <w:rPr>
          <w:rFonts w:ascii="Times New Roman" w:hAnsi="Times New Roman"/>
          <w:bCs/>
        </w:rPr>
        <w:t xml:space="preserve"> </w:t>
      </w:r>
      <w:r w:rsidR="000E0885" w:rsidRPr="009A4C00">
        <w:rPr>
          <w:rFonts w:ascii="Times New Roman" w:hAnsi="Times New Roman"/>
          <w:bCs/>
        </w:rPr>
        <w:t xml:space="preserve">CALIFICACIÓN DE RIESGO </w:t>
      </w:r>
    </w:p>
    <w:p w:rsidR="000E0885" w:rsidRPr="00D00BAF" w:rsidRDefault="000E0885">
      <w:pPr>
        <w:pStyle w:val="Sangra2detindependiente"/>
        <w:tabs>
          <w:tab w:val="clear" w:pos="-2160"/>
          <w:tab w:val="clear" w:pos="-1980"/>
        </w:tabs>
        <w:ind w:left="0"/>
        <w:rPr>
          <w:bCs/>
          <w:snapToGrid/>
          <w:lang w:val="es-ES"/>
        </w:rPr>
      </w:pPr>
    </w:p>
    <w:p w:rsidR="00870A76" w:rsidRPr="00D00BAF" w:rsidRDefault="00870A76" w:rsidP="00870A76">
      <w:pPr>
        <w:jc w:val="both"/>
        <w:rPr>
          <w:sz w:val="24"/>
          <w:szCs w:val="24"/>
        </w:rPr>
      </w:pPr>
      <w:r w:rsidRPr="00D00BAF">
        <w:rPr>
          <w:sz w:val="24"/>
          <w:szCs w:val="24"/>
        </w:rPr>
        <w:t>El artículo 235 de la Ley de Bancos requiere que publiquemos la calificación de riesgo realizada por una clasificadora de riesgo registrada en la Superintendencia de Valores, la cual es la siguiente:</w:t>
      </w:r>
    </w:p>
    <w:p w:rsidR="00870A76" w:rsidRPr="00D00BAF" w:rsidRDefault="00870A76" w:rsidP="00870A76">
      <w:pPr>
        <w:jc w:val="both"/>
        <w:rPr>
          <w:sz w:val="24"/>
          <w:szCs w:val="24"/>
        </w:rPr>
      </w:pPr>
    </w:p>
    <w:bookmarkStart w:id="429" w:name="_MON_1458546197"/>
    <w:bookmarkStart w:id="430" w:name="_MON_1458563393"/>
    <w:bookmarkEnd w:id="429"/>
    <w:bookmarkEnd w:id="430"/>
    <w:bookmarkStart w:id="431" w:name="_MON_1458465364"/>
    <w:bookmarkEnd w:id="431"/>
    <w:p w:rsidR="009A4C00" w:rsidRDefault="00666730" w:rsidP="00512B1E">
      <w:pPr>
        <w:spacing w:after="120" w:line="480" w:lineRule="auto"/>
        <w:rPr>
          <w:sz w:val="24"/>
          <w:szCs w:val="24"/>
        </w:rPr>
      </w:pPr>
      <w:r w:rsidRPr="008B4E41">
        <w:rPr>
          <w:sz w:val="24"/>
          <w:szCs w:val="24"/>
        </w:rPr>
        <w:object w:dxaOrig="7638" w:dyaOrig="805">
          <v:shape id="_x0000_i1035" type="#_x0000_t75" style="width:426pt;height:42.5pt" o:ole="" fillcolor="window">
            <v:imagedata r:id="rId38" o:title=""/>
          </v:shape>
          <o:OLEObject Type="Embed" ProgID="Excel.Sheet.8" ShapeID="_x0000_i1035" DrawAspect="Content" ObjectID="_1523254137" r:id="rId39"/>
        </w:object>
      </w:r>
    </w:p>
    <w:p w:rsidR="009A4C00" w:rsidRPr="008B4E41" w:rsidRDefault="009A4C00" w:rsidP="009A4C00">
      <w:pPr>
        <w:rPr>
          <w:sz w:val="24"/>
          <w:szCs w:val="24"/>
        </w:rPr>
      </w:pPr>
      <w:r w:rsidRPr="008B4E41">
        <w:rPr>
          <w:sz w:val="24"/>
          <w:szCs w:val="24"/>
        </w:rPr>
        <w:t>Descripción de la calificación:</w:t>
      </w:r>
    </w:p>
    <w:p w:rsidR="009A4C00" w:rsidRPr="008B4E41" w:rsidRDefault="009A4C00" w:rsidP="009A4C00">
      <w:pPr>
        <w:rPr>
          <w:sz w:val="24"/>
          <w:szCs w:val="24"/>
        </w:rPr>
      </w:pPr>
    </w:p>
    <w:p w:rsidR="009A4C00" w:rsidRPr="008B4E41" w:rsidRDefault="009A4C00" w:rsidP="009A4C00">
      <w:pPr>
        <w:tabs>
          <w:tab w:val="left" w:pos="-2160"/>
          <w:tab w:val="left" w:pos="-1980"/>
        </w:tabs>
        <w:jc w:val="both"/>
        <w:rPr>
          <w:snapToGrid w:val="0"/>
          <w:sz w:val="24"/>
          <w:szCs w:val="24"/>
          <w:lang w:val="es-ES_tradnl"/>
        </w:rPr>
      </w:pPr>
      <w:r w:rsidRPr="008B4E41">
        <w:rPr>
          <w:b/>
          <w:bCs/>
          <w:snapToGrid w:val="0"/>
          <w:sz w:val="24"/>
          <w:szCs w:val="24"/>
          <w:lang w:val="es-ES_tradnl"/>
        </w:rPr>
        <w:t xml:space="preserve">BBB: </w:t>
      </w:r>
      <w:r w:rsidRPr="008B4E41">
        <w:rPr>
          <w:bCs/>
          <w:snapToGrid w:val="0"/>
          <w:sz w:val="24"/>
          <w:szCs w:val="24"/>
          <w:lang w:val="es-ES_tradnl"/>
        </w:rPr>
        <w:t>Corresponde</w:t>
      </w:r>
      <w:r w:rsidRPr="008B4E41">
        <w:rPr>
          <w:snapToGrid w:val="0"/>
          <w:sz w:val="24"/>
          <w:szCs w:val="24"/>
          <w:lang w:val="es-ES_tradnl"/>
        </w:rPr>
        <w:t xml:space="preserve"> a aquellas entidades que cuentan con una suficiente capacidad de pago de sus obligaciones en los términos y plazos pactados, pero ésta es susceptible de debilitarse ante posibles cambios en la entidad, en la industria a que pertenece o en la economía. Los factores de protección son suficientes. </w:t>
      </w:r>
    </w:p>
    <w:p w:rsidR="009A4C00" w:rsidRPr="008B4E41" w:rsidRDefault="009A4C00" w:rsidP="009A4C00">
      <w:pPr>
        <w:tabs>
          <w:tab w:val="left" w:pos="-2160"/>
          <w:tab w:val="left" w:pos="-1980"/>
        </w:tabs>
        <w:jc w:val="both"/>
        <w:rPr>
          <w:rFonts w:eastAsia="Arial Unicode MS"/>
          <w:b/>
          <w:bCs/>
          <w:snapToGrid w:val="0"/>
          <w:sz w:val="24"/>
          <w:szCs w:val="24"/>
          <w:lang w:val="es-ES_tradnl"/>
        </w:rPr>
      </w:pPr>
    </w:p>
    <w:p w:rsidR="009A4C00" w:rsidRPr="008B4E41" w:rsidRDefault="009A4C00" w:rsidP="009A4C00">
      <w:pPr>
        <w:rPr>
          <w:sz w:val="24"/>
          <w:szCs w:val="24"/>
          <w:lang w:val="es-SV"/>
        </w:rPr>
      </w:pPr>
      <w:r w:rsidRPr="008B4E41">
        <w:rPr>
          <w:sz w:val="24"/>
          <w:szCs w:val="24"/>
          <w:lang w:val="es-SV"/>
        </w:rPr>
        <w:t>El signo “+” indica una tendencia ascendente hacia la categoría de clasificación inmediata superior. </w:t>
      </w:r>
    </w:p>
    <w:p w:rsidR="00512B1E" w:rsidRPr="00D00BAF" w:rsidRDefault="00512B1E" w:rsidP="00512B1E">
      <w:pPr>
        <w:tabs>
          <w:tab w:val="left" w:pos="-2160"/>
          <w:tab w:val="left" w:pos="-1980"/>
        </w:tabs>
        <w:jc w:val="both"/>
        <w:rPr>
          <w:snapToGrid w:val="0"/>
          <w:sz w:val="24"/>
          <w:szCs w:val="24"/>
          <w:lang w:val="es-SV"/>
        </w:rPr>
      </w:pPr>
    </w:p>
    <w:p w:rsidR="00512B1E" w:rsidRPr="00D00BAF" w:rsidRDefault="00512B1E" w:rsidP="00512B1E">
      <w:pPr>
        <w:tabs>
          <w:tab w:val="left" w:pos="-2160"/>
          <w:tab w:val="left" w:pos="-1980"/>
        </w:tabs>
        <w:jc w:val="both"/>
        <w:rPr>
          <w:snapToGrid w:val="0"/>
          <w:sz w:val="24"/>
          <w:szCs w:val="24"/>
          <w:lang w:val="es-ES_tradnl"/>
        </w:rPr>
      </w:pPr>
    </w:p>
    <w:p w:rsidR="000E0885" w:rsidRPr="0067285E" w:rsidRDefault="000E0885">
      <w:pPr>
        <w:pStyle w:val="Textoindependiente"/>
        <w:numPr>
          <w:ilvl w:val="0"/>
          <w:numId w:val="6"/>
        </w:numPr>
        <w:tabs>
          <w:tab w:val="clear" w:pos="720"/>
          <w:tab w:val="clear" w:pos="1296"/>
          <w:tab w:val="clear" w:pos="2016"/>
          <w:tab w:val="left" w:pos="-2160"/>
          <w:tab w:val="left" w:pos="-1980"/>
        </w:tabs>
        <w:jc w:val="both"/>
        <w:rPr>
          <w:rFonts w:ascii="Times New Roman" w:hAnsi="Times New Roman"/>
          <w:bCs/>
        </w:rPr>
      </w:pPr>
      <w:r w:rsidRPr="00BA3DE2">
        <w:rPr>
          <w:rFonts w:ascii="Times New Roman" w:hAnsi="Times New Roman"/>
          <w:bCs/>
          <w:color w:val="00B050"/>
        </w:rPr>
        <w:t xml:space="preserve">  </w:t>
      </w:r>
      <w:r w:rsidRPr="0067285E">
        <w:rPr>
          <w:rFonts w:ascii="Times New Roman" w:hAnsi="Times New Roman"/>
          <w:bCs/>
        </w:rPr>
        <w:t>INFORMACIÓN POR SEGMENTOS</w:t>
      </w:r>
    </w:p>
    <w:p w:rsidR="000E0885" w:rsidRPr="00D00BAF" w:rsidRDefault="000E0885">
      <w:pPr>
        <w:pStyle w:val="Piedepgina"/>
        <w:tabs>
          <w:tab w:val="clear" w:pos="4252"/>
          <w:tab w:val="clear" w:pos="8504"/>
        </w:tabs>
      </w:pPr>
    </w:p>
    <w:p w:rsidR="000E0885" w:rsidRPr="00D00BAF" w:rsidRDefault="000E0885">
      <w:pPr>
        <w:pStyle w:val="Sangra2detindependiente"/>
        <w:tabs>
          <w:tab w:val="left" w:pos="709"/>
        </w:tabs>
        <w:ind w:left="0"/>
        <w:rPr>
          <w:lang w:val="es-ES"/>
        </w:rPr>
      </w:pPr>
      <w:r w:rsidRPr="00D00BAF">
        <w:rPr>
          <w:lang w:val="es-ES"/>
        </w:rPr>
        <w:t>El Banco de Fomento Agropecuario, únicamente se dedica a la intermediación financiera en El Salvador.</w:t>
      </w:r>
    </w:p>
    <w:p w:rsidR="00E41477" w:rsidRPr="00D00BAF" w:rsidRDefault="00E41477">
      <w:pPr>
        <w:ind w:left="1276" w:hanging="1276"/>
      </w:pPr>
    </w:p>
    <w:p w:rsidR="007E62FE" w:rsidRPr="00D00BAF" w:rsidRDefault="007E62FE">
      <w:pPr>
        <w:ind w:left="1276" w:hanging="1276"/>
      </w:pPr>
    </w:p>
    <w:p w:rsidR="00AB5978" w:rsidRDefault="00AB5978" w:rsidP="00AB5978">
      <w:pPr>
        <w:keepNext/>
        <w:numPr>
          <w:ilvl w:val="0"/>
          <w:numId w:val="6"/>
        </w:numPr>
        <w:tabs>
          <w:tab w:val="left" w:pos="1134"/>
        </w:tabs>
        <w:jc w:val="both"/>
        <w:outlineLvl w:val="6"/>
        <w:rPr>
          <w:b/>
          <w:sz w:val="24"/>
          <w:lang w:val="es-ES_tradnl"/>
        </w:rPr>
      </w:pPr>
      <w:r w:rsidRPr="00AB5978">
        <w:rPr>
          <w:b/>
          <w:sz w:val="24"/>
          <w:lang w:val="es-ES_tradnl"/>
        </w:rPr>
        <w:t xml:space="preserve">HECHOS RELEVANTES Y SUBSECUENTES AL 31 DE </w:t>
      </w:r>
      <w:r w:rsidR="00BC698E">
        <w:rPr>
          <w:b/>
          <w:sz w:val="24"/>
          <w:lang w:val="es-ES_tradnl"/>
        </w:rPr>
        <w:t>MARZO</w:t>
      </w:r>
      <w:r w:rsidRPr="00AB5978">
        <w:rPr>
          <w:b/>
          <w:sz w:val="24"/>
          <w:lang w:val="es-ES_tradnl"/>
        </w:rPr>
        <w:t xml:space="preserve"> DE 2016,  SON LOS SIGUIENTES:</w:t>
      </w:r>
    </w:p>
    <w:p w:rsidR="00AB5978" w:rsidRPr="0067285E" w:rsidRDefault="00AB5978" w:rsidP="00AB5978">
      <w:pPr>
        <w:keepNext/>
        <w:tabs>
          <w:tab w:val="left" w:pos="1134"/>
        </w:tabs>
        <w:ind w:left="511"/>
        <w:jc w:val="both"/>
        <w:outlineLvl w:val="6"/>
        <w:rPr>
          <w:b/>
          <w:sz w:val="24"/>
          <w:lang w:val="es-ES_tradnl"/>
        </w:rPr>
      </w:pPr>
    </w:p>
    <w:p w:rsidR="00AB5978" w:rsidRPr="00FE78FF" w:rsidRDefault="00A36C96" w:rsidP="005F2B6B">
      <w:pPr>
        <w:ind w:left="426"/>
        <w:jc w:val="both"/>
        <w:rPr>
          <w:b/>
          <w:sz w:val="24"/>
          <w:szCs w:val="24"/>
          <w:lang w:val="es-ES_tradnl"/>
        </w:rPr>
      </w:pPr>
      <w:hyperlink r:id="rId40" w:history="1">
        <w:r w:rsidR="00AB5978" w:rsidRPr="00FE78FF">
          <w:rPr>
            <w:rStyle w:val="Hipervnculo"/>
            <w:b/>
            <w:color w:val="auto"/>
            <w:sz w:val="24"/>
            <w:szCs w:val="24"/>
            <w:u w:val="none"/>
            <w:lang w:val="es-ES_tradnl"/>
          </w:rPr>
          <w:t xml:space="preserve">VENTA </w:t>
        </w:r>
        <w:r w:rsidR="005F2B6B" w:rsidRPr="00FE78FF">
          <w:rPr>
            <w:rStyle w:val="Hipervnculo"/>
            <w:b/>
            <w:color w:val="auto"/>
            <w:sz w:val="24"/>
            <w:szCs w:val="24"/>
            <w:u w:val="none"/>
            <w:lang w:val="es-ES_tradnl"/>
          </w:rPr>
          <w:t xml:space="preserve"> </w:t>
        </w:r>
        <w:r w:rsidR="00AB5978" w:rsidRPr="00FE78FF">
          <w:rPr>
            <w:rStyle w:val="Hipervnculo"/>
            <w:b/>
            <w:color w:val="auto"/>
            <w:sz w:val="24"/>
            <w:szCs w:val="24"/>
            <w:u w:val="none"/>
            <w:lang w:val="es-ES_tradnl"/>
          </w:rPr>
          <w:t>DE CARTERA AL FIDEAGRO</w:t>
        </w:r>
      </w:hyperlink>
    </w:p>
    <w:p w:rsidR="00AB5978" w:rsidRPr="00FE78FF" w:rsidRDefault="00AB5978" w:rsidP="00AB5978">
      <w:pPr>
        <w:ind w:left="426"/>
        <w:jc w:val="both"/>
        <w:rPr>
          <w:b/>
          <w:sz w:val="24"/>
          <w:szCs w:val="24"/>
          <w:highlight w:val="yellow"/>
          <w:lang w:val="es-ES_tradnl"/>
        </w:rPr>
      </w:pPr>
    </w:p>
    <w:p w:rsidR="00AB5978" w:rsidRPr="00AB5978" w:rsidRDefault="00AB5978" w:rsidP="00AB5978">
      <w:pPr>
        <w:ind w:left="426"/>
        <w:jc w:val="both"/>
        <w:rPr>
          <w:sz w:val="24"/>
          <w:szCs w:val="24"/>
          <w:highlight w:val="yellow"/>
          <w:lang w:val="es-ES_tradnl"/>
        </w:rPr>
      </w:pPr>
      <w:r w:rsidRPr="00AB5978">
        <w:rPr>
          <w:sz w:val="24"/>
          <w:szCs w:val="24"/>
          <w:lang w:val="es-ES_tradnl"/>
        </w:rPr>
        <w:t>Con base a lo establecido en el Decreto Legislativo No. 619, del 23/11/01, el Banco de Fomento Agropecuario, vendió al FIDEAGRO préstamos otorgados principalmente para granos básicos y microcrédito, categoría “D”,  al 75%  de su valor  por $844.0; siendo el 100% $1,125.3.</w:t>
      </w:r>
    </w:p>
    <w:p w:rsidR="00AB5978" w:rsidRPr="00AB5978" w:rsidRDefault="00AB5978" w:rsidP="00AB5978">
      <w:pPr>
        <w:ind w:left="426"/>
        <w:jc w:val="both"/>
        <w:rPr>
          <w:sz w:val="24"/>
          <w:szCs w:val="24"/>
          <w:highlight w:val="yellow"/>
          <w:lang w:val="es-ES_tradnl"/>
        </w:rPr>
      </w:pPr>
    </w:p>
    <w:p w:rsidR="00AB5978" w:rsidRPr="00AB5978" w:rsidRDefault="00AB5978" w:rsidP="007D53C1">
      <w:pPr>
        <w:tabs>
          <w:tab w:val="left" w:pos="-2160"/>
          <w:tab w:val="left" w:pos="-1980"/>
          <w:tab w:val="left" w:pos="426"/>
        </w:tabs>
        <w:snapToGrid w:val="0"/>
        <w:ind w:left="426"/>
        <w:jc w:val="both"/>
        <w:rPr>
          <w:b/>
          <w:sz w:val="24"/>
          <w:lang w:val="es-ES_tradnl"/>
        </w:rPr>
      </w:pPr>
      <w:r w:rsidRPr="00AB5978">
        <w:rPr>
          <w:b/>
          <w:sz w:val="24"/>
          <w:lang w:val="es-ES_tradnl"/>
        </w:rPr>
        <w:t xml:space="preserve">HECHOS RELEVANTES Y SUBSECUENTES AL 31 DE MARZO DE 2015,  SON LOS SIGUIENTES: </w:t>
      </w:r>
    </w:p>
    <w:p w:rsidR="00AB5978" w:rsidRPr="00AB5978" w:rsidRDefault="00AB5978" w:rsidP="007D53C1">
      <w:pPr>
        <w:tabs>
          <w:tab w:val="left" w:pos="-2160"/>
          <w:tab w:val="left" w:pos="-1980"/>
          <w:tab w:val="left" w:pos="426"/>
        </w:tabs>
        <w:snapToGrid w:val="0"/>
        <w:ind w:left="426"/>
        <w:jc w:val="both"/>
        <w:rPr>
          <w:b/>
          <w:sz w:val="24"/>
          <w:lang w:val="es-ES_tradnl"/>
        </w:rPr>
      </w:pPr>
    </w:p>
    <w:p w:rsidR="00AB5978" w:rsidRPr="00AB5978" w:rsidRDefault="00AB5978" w:rsidP="007D53C1">
      <w:pPr>
        <w:tabs>
          <w:tab w:val="left" w:pos="-2160"/>
          <w:tab w:val="left" w:pos="-1980"/>
          <w:tab w:val="left" w:pos="426"/>
        </w:tabs>
        <w:snapToGrid w:val="0"/>
        <w:ind w:left="426"/>
        <w:jc w:val="both"/>
        <w:rPr>
          <w:b/>
          <w:sz w:val="24"/>
          <w:lang w:val="es-ES_tradnl"/>
        </w:rPr>
      </w:pPr>
      <w:r w:rsidRPr="00AB5978">
        <w:rPr>
          <w:b/>
          <w:sz w:val="24"/>
          <w:lang w:val="es-ES_tradnl"/>
        </w:rPr>
        <w:t>CAMBIO DE DIRECTORES Y FUNCIONARIOS</w:t>
      </w:r>
    </w:p>
    <w:p w:rsidR="00AB5978" w:rsidRPr="00AB5978" w:rsidRDefault="00AB5978" w:rsidP="007D53C1">
      <w:pPr>
        <w:tabs>
          <w:tab w:val="left" w:pos="-2160"/>
          <w:tab w:val="left" w:pos="-1980"/>
          <w:tab w:val="left" w:pos="426"/>
        </w:tabs>
        <w:snapToGrid w:val="0"/>
        <w:ind w:left="426"/>
        <w:jc w:val="both"/>
        <w:rPr>
          <w:b/>
          <w:sz w:val="24"/>
          <w:lang w:val="es-ES_tradnl"/>
        </w:rPr>
      </w:pPr>
    </w:p>
    <w:p w:rsidR="00AB5978" w:rsidRPr="007D53C1" w:rsidRDefault="00AB5978" w:rsidP="007D53C1">
      <w:pPr>
        <w:tabs>
          <w:tab w:val="left" w:pos="-2160"/>
          <w:tab w:val="left" w:pos="-1980"/>
          <w:tab w:val="left" w:pos="426"/>
        </w:tabs>
        <w:snapToGrid w:val="0"/>
        <w:ind w:left="426"/>
        <w:jc w:val="both"/>
        <w:rPr>
          <w:sz w:val="24"/>
          <w:lang w:val="es-ES_tradnl"/>
        </w:rPr>
      </w:pPr>
      <w:r w:rsidRPr="00AB5978">
        <w:rPr>
          <w:sz w:val="24"/>
          <w:lang w:val="es-ES_tradnl"/>
        </w:rPr>
        <w:t>Ingeniero Teodoro Antonio Romero Romero, nombrado Director Propietario, en representación del Ministerio de Economía, a partir del 1 de febrero de 2015 al 31 de enero de 2018.</w:t>
      </w:r>
    </w:p>
    <w:p w:rsidR="00AB5978" w:rsidRPr="00AB5978" w:rsidRDefault="00AB5978" w:rsidP="00AB5978">
      <w:pPr>
        <w:tabs>
          <w:tab w:val="left" w:pos="-2160"/>
          <w:tab w:val="left" w:pos="-1980"/>
          <w:tab w:val="left" w:pos="709"/>
        </w:tabs>
        <w:snapToGrid w:val="0"/>
        <w:ind w:left="705"/>
        <w:jc w:val="both"/>
        <w:rPr>
          <w:b/>
          <w:sz w:val="24"/>
          <w:lang w:val="es-ES_tradnl"/>
        </w:rPr>
      </w:pPr>
    </w:p>
    <w:p w:rsidR="000E0885" w:rsidRPr="0067285E" w:rsidRDefault="000E0885" w:rsidP="00D15197">
      <w:pPr>
        <w:pStyle w:val="Textoindependiente"/>
        <w:numPr>
          <w:ilvl w:val="0"/>
          <w:numId w:val="6"/>
        </w:numPr>
        <w:tabs>
          <w:tab w:val="clear" w:pos="720"/>
          <w:tab w:val="clear" w:pos="1080"/>
          <w:tab w:val="clear" w:pos="1296"/>
          <w:tab w:val="clear" w:pos="2016"/>
          <w:tab w:val="left" w:pos="-2160"/>
          <w:tab w:val="left" w:pos="-1980"/>
          <w:tab w:val="num" w:pos="1134"/>
        </w:tabs>
        <w:ind w:left="1134" w:hanging="1134"/>
        <w:jc w:val="both"/>
        <w:rPr>
          <w:rFonts w:ascii="Times New Roman" w:hAnsi="Times New Roman"/>
          <w:bCs/>
        </w:rPr>
      </w:pPr>
      <w:r w:rsidRPr="0067285E">
        <w:rPr>
          <w:rFonts w:ascii="Times New Roman" w:hAnsi="Times New Roman"/>
          <w:bCs/>
        </w:rPr>
        <w:t xml:space="preserve">DIFERENCIAS SIGNIFICATIVAS ENTRE LAS NORMAS CONTABLES </w:t>
      </w:r>
      <w:r w:rsidR="00D15197" w:rsidRPr="0067285E">
        <w:rPr>
          <w:rFonts w:ascii="Times New Roman" w:hAnsi="Times New Roman"/>
          <w:bCs/>
        </w:rPr>
        <w:t xml:space="preserve"> </w:t>
      </w:r>
      <w:r w:rsidRPr="0067285E">
        <w:rPr>
          <w:rFonts w:ascii="Times New Roman" w:hAnsi="Times New Roman"/>
          <w:bCs/>
        </w:rPr>
        <w:t>EMITIDAS POR LA SUPERINTENDENCIA Y LAS NORMAS INTERNACIO</w:t>
      </w:r>
      <w:r w:rsidR="00C85B57" w:rsidRPr="0067285E">
        <w:rPr>
          <w:rFonts w:ascii="Times New Roman" w:hAnsi="Times New Roman"/>
          <w:bCs/>
        </w:rPr>
        <w:t>NALES DE INFORMACION FINANCIERA</w:t>
      </w:r>
    </w:p>
    <w:p w:rsidR="000E0885" w:rsidRPr="00D00BAF" w:rsidRDefault="000E0885">
      <w:pPr>
        <w:jc w:val="both"/>
        <w:rPr>
          <w:b/>
          <w:bCs/>
          <w:sz w:val="24"/>
        </w:rPr>
      </w:pPr>
    </w:p>
    <w:p w:rsidR="000E0885" w:rsidRPr="00D00BAF" w:rsidRDefault="000E0885">
      <w:pPr>
        <w:jc w:val="both"/>
        <w:rPr>
          <w:sz w:val="24"/>
        </w:rPr>
      </w:pPr>
      <w:r w:rsidRPr="00D00BAF">
        <w:rPr>
          <w:sz w:val="24"/>
        </w:rPr>
        <w:t>Las principales diferencias entre las Normas Internacionales de Información Financiera (NIIF) y las normas contables bancarias (NCB), emitidas por la Superintendencia del Sistema Financiero, se describen a continuación:</w:t>
      </w:r>
    </w:p>
    <w:p w:rsidR="000E0885" w:rsidRPr="00D00BAF" w:rsidRDefault="000E0885">
      <w:pPr>
        <w:jc w:val="both"/>
        <w:rPr>
          <w:sz w:val="24"/>
        </w:rPr>
      </w:pPr>
    </w:p>
    <w:p w:rsidR="000E0885" w:rsidRPr="00D00BAF" w:rsidRDefault="000E0885">
      <w:pPr>
        <w:pStyle w:val="Textoindependiente3"/>
        <w:numPr>
          <w:ilvl w:val="0"/>
          <w:numId w:val="9"/>
        </w:numPr>
        <w:tabs>
          <w:tab w:val="clear" w:pos="720"/>
          <w:tab w:val="num" w:pos="360"/>
        </w:tabs>
        <w:spacing w:line="216" w:lineRule="auto"/>
        <w:ind w:left="360"/>
        <w:rPr>
          <w:szCs w:val="24"/>
          <w:u w:val="none"/>
        </w:rPr>
      </w:pPr>
      <w:r w:rsidRPr="00D00BAF">
        <w:rPr>
          <w:szCs w:val="24"/>
          <w:u w:val="none"/>
        </w:rPr>
        <w:t>Las inversiones no se tienen registradas y valuadas de acuerdo a la clasificación que establecen las NIIF; las que se detallan a continuación: instrumentos financieros a su valor razonable a través de pérdidas y ganancias, préstamos y cuentas por cobrar originados por la empresa, inversiones disponibles para la venta, e inversiones mantenidas hasta el vencimiento; las NIIF requieren que las inversiones sean clasificadas para determinar el método de valuación que les corresponde.</w:t>
      </w:r>
    </w:p>
    <w:p w:rsidR="000E0885" w:rsidRPr="00D00BAF" w:rsidRDefault="000E0885">
      <w:pPr>
        <w:pStyle w:val="Textoindependiente3"/>
        <w:spacing w:line="216" w:lineRule="auto"/>
        <w:rPr>
          <w:szCs w:val="24"/>
          <w:u w:val="none"/>
        </w:rPr>
      </w:pPr>
    </w:p>
    <w:p w:rsidR="000E0885" w:rsidRPr="00D00BAF" w:rsidRDefault="000E0885">
      <w:pPr>
        <w:pStyle w:val="Prrafodelista"/>
        <w:numPr>
          <w:ilvl w:val="0"/>
          <w:numId w:val="2"/>
        </w:numPr>
        <w:tabs>
          <w:tab w:val="left" w:pos="360"/>
        </w:tabs>
        <w:autoSpaceDE w:val="0"/>
        <w:autoSpaceDN w:val="0"/>
        <w:adjustRightInd w:val="0"/>
        <w:spacing w:line="230" w:lineRule="auto"/>
        <w:ind w:left="360"/>
        <w:jc w:val="both"/>
        <w:rPr>
          <w:sz w:val="24"/>
          <w:szCs w:val="24"/>
        </w:rPr>
      </w:pPr>
      <w:r w:rsidRPr="00D00BAF">
        <w:rPr>
          <w:sz w:val="24"/>
          <w:szCs w:val="24"/>
        </w:rPr>
        <w:t>No se están realizando todas las divulgaciones relacionadas con el uso de los instrumentos financieros; por ejemplo:</w:t>
      </w:r>
      <w:bookmarkStart w:id="432" w:name="_GoBack"/>
      <w:bookmarkEnd w:id="432"/>
    </w:p>
    <w:p w:rsidR="000E0885" w:rsidRPr="00D00BAF" w:rsidRDefault="000E0885">
      <w:pPr>
        <w:rPr>
          <w:sz w:val="24"/>
          <w:szCs w:val="24"/>
        </w:rPr>
      </w:pPr>
    </w:p>
    <w:p w:rsidR="000E0885" w:rsidRPr="00D00BAF" w:rsidRDefault="000E0885">
      <w:pPr>
        <w:numPr>
          <w:ilvl w:val="2"/>
          <w:numId w:val="10"/>
        </w:numPr>
        <w:tabs>
          <w:tab w:val="clear" w:pos="2160"/>
        </w:tabs>
        <w:autoSpaceDE w:val="0"/>
        <w:autoSpaceDN w:val="0"/>
        <w:adjustRightInd w:val="0"/>
        <w:ind w:left="709" w:hanging="142"/>
        <w:jc w:val="both"/>
        <w:rPr>
          <w:sz w:val="24"/>
          <w:szCs w:val="24"/>
          <w:lang w:eastAsia="en-US"/>
        </w:rPr>
      </w:pPr>
      <w:r w:rsidRPr="00D00BAF">
        <w:rPr>
          <w:sz w:val="24"/>
          <w:szCs w:val="24"/>
          <w:lang w:eastAsia="en-US"/>
        </w:rPr>
        <w:lastRenderedPageBreak/>
        <w:t>Los objetivos y políticas concernientes a la gestión de los riesgos financieros, incluyendo su política respecto a la cobertura desglosada para cada uno de los tipos principales de transacciones previstas.</w:t>
      </w:r>
    </w:p>
    <w:p w:rsidR="000E0885" w:rsidRPr="00D00BAF" w:rsidRDefault="000E0885">
      <w:pPr>
        <w:numPr>
          <w:ilvl w:val="2"/>
          <w:numId w:val="10"/>
        </w:numPr>
        <w:tabs>
          <w:tab w:val="clear" w:pos="2160"/>
        </w:tabs>
        <w:autoSpaceDE w:val="0"/>
        <w:autoSpaceDN w:val="0"/>
        <w:adjustRightInd w:val="0"/>
        <w:ind w:left="709" w:hanging="142"/>
        <w:jc w:val="both"/>
        <w:rPr>
          <w:sz w:val="24"/>
          <w:szCs w:val="24"/>
          <w:lang w:eastAsia="en-US"/>
        </w:rPr>
      </w:pPr>
      <w:r w:rsidRPr="00D00BAF">
        <w:rPr>
          <w:sz w:val="24"/>
          <w:szCs w:val="24"/>
          <w:lang w:eastAsia="en-US"/>
        </w:rPr>
        <w:t>La información sobre la naturaleza de los riesgos cubiertos, tales como riesgo de crédito, riesgo de mercado, riesgo de moneda y riesgo de la tasa de interés.</w:t>
      </w:r>
    </w:p>
    <w:p w:rsidR="000E0885" w:rsidRPr="00D00BAF" w:rsidRDefault="000E0885">
      <w:pPr>
        <w:autoSpaceDE w:val="0"/>
        <w:autoSpaceDN w:val="0"/>
        <w:adjustRightInd w:val="0"/>
        <w:jc w:val="both"/>
        <w:rPr>
          <w:sz w:val="24"/>
          <w:szCs w:val="24"/>
          <w:lang w:eastAsia="en-US"/>
        </w:rPr>
      </w:pPr>
    </w:p>
    <w:p w:rsidR="000E0885" w:rsidRPr="00D00BAF" w:rsidRDefault="000E0885">
      <w:pPr>
        <w:pStyle w:val="Textoindependiente3"/>
        <w:numPr>
          <w:ilvl w:val="0"/>
          <w:numId w:val="2"/>
        </w:numPr>
        <w:tabs>
          <w:tab w:val="clear" w:pos="720"/>
          <w:tab w:val="num" w:pos="426"/>
        </w:tabs>
        <w:ind w:left="426" w:hanging="426"/>
        <w:rPr>
          <w:u w:val="none"/>
        </w:rPr>
      </w:pPr>
      <w:r w:rsidRPr="00D00BAF">
        <w:rPr>
          <w:u w:val="none"/>
        </w:rPr>
        <w:t xml:space="preserve">La presentación de los Estados Financieros se rige por formatos diseñados por la Superintendencia del Sistema Financiero, cuyas notas son generalmente de cumplimiento legal, y no proporcionan toda la información requerida por las NIIF para el análisis financiero de las cifras, tales como: activos y pasivos que generan intereses, detalle de la concentración de los riesgos de créditos, información sobre vencimientos de los préstamos y depósitos, información sobre los derivativos financieros e información sobre los riesgos de crédito, de tasa de interés, mercado y en flujo de efectivo. </w:t>
      </w:r>
    </w:p>
    <w:p w:rsidR="000E0885" w:rsidRPr="00D00BAF" w:rsidRDefault="000E0885">
      <w:pPr>
        <w:pStyle w:val="Textoindependiente3"/>
        <w:rPr>
          <w:u w:val="none"/>
        </w:rPr>
      </w:pPr>
    </w:p>
    <w:p w:rsidR="000E0885" w:rsidRPr="00D00BAF" w:rsidRDefault="000E0885">
      <w:pPr>
        <w:pStyle w:val="Textoindependiente3"/>
        <w:numPr>
          <w:ilvl w:val="0"/>
          <w:numId w:val="2"/>
        </w:numPr>
        <w:tabs>
          <w:tab w:val="clear" w:pos="720"/>
          <w:tab w:val="num" w:pos="426"/>
        </w:tabs>
        <w:ind w:left="426" w:hanging="426"/>
        <w:rPr>
          <w:u w:val="none"/>
        </w:rPr>
      </w:pPr>
      <w:r w:rsidRPr="00D00BAF">
        <w:rPr>
          <w:u w:val="none"/>
        </w:rPr>
        <w:t>Los valores adquiridos o vendidos con pacto de recompra (reportos) se registran como inversiones y deudas en el Balance General; de acuerdo con las NIIF estos deben registrarse como cuentas por cobrar y deudas.</w:t>
      </w:r>
    </w:p>
    <w:p w:rsidR="000E0885" w:rsidRPr="00D00BAF" w:rsidRDefault="000E0885">
      <w:pPr>
        <w:pStyle w:val="Textoindependiente3"/>
        <w:rPr>
          <w:u w:val="none"/>
        </w:rPr>
      </w:pPr>
    </w:p>
    <w:p w:rsidR="000E0885" w:rsidRPr="00D00BAF" w:rsidRDefault="000E0885">
      <w:pPr>
        <w:pStyle w:val="Textoindependiente3"/>
        <w:numPr>
          <w:ilvl w:val="0"/>
          <w:numId w:val="2"/>
        </w:numPr>
        <w:tabs>
          <w:tab w:val="clear" w:pos="720"/>
          <w:tab w:val="num" w:pos="426"/>
        </w:tabs>
        <w:ind w:left="426" w:hanging="426"/>
        <w:rPr>
          <w:szCs w:val="24"/>
          <w:u w:val="none"/>
        </w:rPr>
      </w:pPr>
      <w:r w:rsidRPr="00D00BAF">
        <w:rPr>
          <w:u w:val="none"/>
        </w:rPr>
        <w:t>Las</w:t>
      </w:r>
      <w:r w:rsidRPr="00D00BAF">
        <w:rPr>
          <w:szCs w:val="24"/>
          <w:u w:val="none"/>
        </w:rPr>
        <w:t xml:space="preserve"> provisiones para riesgos de crédito se indica que se han establecido con base a normativa emitida por la Superintendencia del Sistema Financiero;</w:t>
      </w:r>
      <w:r w:rsidRPr="00D00BAF">
        <w:rPr>
          <w:szCs w:val="24"/>
          <w:u w:val="none"/>
          <w:lang w:eastAsia="en-US"/>
        </w:rPr>
        <w:t xml:space="preserve"> conforme a las NIIF en  la preparación de los estados financieros debe considerarse el perfil de los riesgos de crédito de la cartera, debiendo considerar variables como el comportamiento de la economía, tendencias históricas de la mora, localización geográfica, actividad económica, etc., para establecer reservas adecuadas a los riesgos de recuperación de estos préstamos. </w:t>
      </w:r>
      <w:r w:rsidRPr="00D00BAF">
        <w:rPr>
          <w:szCs w:val="24"/>
          <w:u w:val="none"/>
        </w:rPr>
        <w:t>Las NIIF sugieren que el análisis para el establecimiento de reservas se realice en base a los flujos de efectivo futuros, incluyendo el valor justo razonable de la garantía.</w:t>
      </w:r>
    </w:p>
    <w:p w:rsidR="000E0885" w:rsidRPr="00D00BAF" w:rsidRDefault="000E0885">
      <w:pPr>
        <w:pStyle w:val="Textoindependiente3"/>
        <w:numPr>
          <w:ilvl w:val="0"/>
          <w:numId w:val="2"/>
        </w:numPr>
        <w:tabs>
          <w:tab w:val="clear" w:pos="720"/>
          <w:tab w:val="num" w:pos="426"/>
        </w:tabs>
        <w:ind w:left="426" w:hanging="426"/>
        <w:rPr>
          <w:szCs w:val="24"/>
          <w:u w:val="none"/>
        </w:rPr>
      </w:pPr>
      <w:r w:rsidRPr="00D00BAF">
        <w:rPr>
          <w:szCs w:val="24"/>
          <w:u w:val="none"/>
        </w:rPr>
        <w:t>Las liberaciones de reservas constituidas en años anteriores se registran con crédito a otros ingresos no de operación; las NIIF requieren que las transacciones de la misma naturaleza se muestren netas.</w:t>
      </w:r>
    </w:p>
    <w:p w:rsidR="000E0885" w:rsidRPr="00D00BAF" w:rsidRDefault="000E0885">
      <w:pPr>
        <w:tabs>
          <w:tab w:val="left" w:pos="900"/>
        </w:tabs>
        <w:autoSpaceDE w:val="0"/>
        <w:autoSpaceDN w:val="0"/>
        <w:adjustRightInd w:val="0"/>
        <w:ind w:left="900" w:hanging="360"/>
        <w:jc w:val="both"/>
        <w:rPr>
          <w:sz w:val="24"/>
          <w:szCs w:val="24"/>
        </w:rPr>
      </w:pPr>
    </w:p>
    <w:p w:rsidR="000E0885" w:rsidRPr="00D00BAF" w:rsidRDefault="000E0885">
      <w:pPr>
        <w:pStyle w:val="Textoindependiente3"/>
        <w:numPr>
          <w:ilvl w:val="0"/>
          <w:numId w:val="2"/>
        </w:numPr>
        <w:tabs>
          <w:tab w:val="clear" w:pos="720"/>
          <w:tab w:val="num" w:pos="426"/>
        </w:tabs>
        <w:ind w:left="426" w:hanging="426"/>
        <w:rPr>
          <w:szCs w:val="24"/>
          <w:u w:val="none"/>
        </w:rPr>
      </w:pPr>
      <w:r w:rsidRPr="00D00BAF">
        <w:rPr>
          <w:szCs w:val="24"/>
          <w:u w:val="none"/>
        </w:rPr>
        <w:t>De acuerdo con las NIIF, el establecimiento de reservas voluntarias no forma parte de los resultados, sino son apropiaciones de utilidades retenidas.</w:t>
      </w:r>
    </w:p>
    <w:p w:rsidR="000E0885" w:rsidRPr="00D00BAF" w:rsidRDefault="000E0885">
      <w:pPr>
        <w:pStyle w:val="Prrafodelista"/>
      </w:pPr>
    </w:p>
    <w:p w:rsidR="000E0885" w:rsidRPr="00D00BAF" w:rsidRDefault="000E0885">
      <w:pPr>
        <w:pStyle w:val="Textoindependiente3"/>
        <w:numPr>
          <w:ilvl w:val="0"/>
          <w:numId w:val="2"/>
        </w:numPr>
        <w:tabs>
          <w:tab w:val="clear" w:pos="720"/>
          <w:tab w:val="num" w:pos="426"/>
        </w:tabs>
        <w:ind w:left="426" w:hanging="426"/>
        <w:rPr>
          <w:u w:val="none"/>
        </w:rPr>
      </w:pPr>
      <w:r w:rsidRPr="00D00BAF">
        <w:rPr>
          <w:u w:val="none"/>
        </w:rPr>
        <w:t>Los ingresos generados por los intereses sobre la cartera vencida de préstamos por cobrar, se registran en cuentas de orden cuando existe mora superior a 90 días y se reconocen como productos cuando son percibidos; las NIIF requieren que los Estados Financieros se preparen sobre la base de lo devengado.</w:t>
      </w:r>
    </w:p>
    <w:p w:rsidR="000E0885" w:rsidRPr="00D00BAF" w:rsidRDefault="000E0885">
      <w:pPr>
        <w:pStyle w:val="Textoindependiente3"/>
        <w:ind w:left="360" w:hanging="360"/>
        <w:rPr>
          <w:u w:val="none"/>
        </w:rPr>
      </w:pPr>
    </w:p>
    <w:p w:rsidR="000E0885" w:rsidRPr="00D00BAF" w:rsidRDefault="000E0885">
      <w:pPr>
        <w:pStyle w:val="Textoindependiente3"/>
        <w:numPr>
          <w:ilvl w:val="0"/>
          <w:numId w:val="2"/>
        </w:numPr>
        <w:tabs>
          <w:tab w:val="clear" w:pos="720"/>
          <w:tab w:val="num" w:pos="426"/>
        </w:tabs>
        <w:ind w:left="426" w:hanging="426"/>
        <w:rPr>
          <w:szCs w:val="24"/>
          <w:u w:val="none"/>
        </w:rPr>
      </w:pPr>
      <w:r w:rsidRPr="00D00BAF">
        <w:rPr>
          <w:u w:val="none"/>
        </w:rPr>
        <w:t>La</w:t>
      </w:r>
      <w:r w:rsidRPr="00D00BAF">
        <w:rPr>
          <w:szCs w:val="24"/>
          <w:u w:val="none"/>
          <w:lang w:eastAsia="en-US"/>
        </w:rPr>
        <w:t xml:space="preserve"> vida útil de los activos fijos se determina con base en los plazos fiscales; las NIIF establecen que la vida útil de los activos fijos debe determinarse con base a la vida económica del bien; así mismo, se revisó la definición de valor residual de los activos.</w:t>
      </w:r>
    </w:p>
    <w:p w:rsidR="000E0885" w:rsidRPr="00D00BAF" w:rsidRDefault="000E0885">
      <w:pPr>
        <w:pStyle w:val="Textoindependiente3"/>
        <w:ind w:left="360" w:hanging="360"/>
        <w:rPr>
          <w:u w:val="none"/>
        </w:rPr>
      </w:pPr>
    </w:p>
    <w:p w:rsidR="000E0885" w:rsidRPr="00D00BAF" w:rsidRDefault="000E0885">
      <w:pPr>
        <w:pStyle w:val="Textoindependiente3"/>
        <w:numPr>
          <w:ilvl w:val="0"/>
          <w:numId w:val="2"/>
        </w:numPr>
        <w:tabs>
          <w:tab w:val="clear" w:pos="720"/>
          <w:tab w:val="num" w:pos="426"/>
        </w:tabs>
        <w:ind w:left="426" w:hanging="426"/>
        <w:rPr>
          <w:u w:val="none"/>
        </w:rPr>
      </w:pPr>
      <w:r w:rsidRPr="00D00BAF">
        <w:rPr>
          <w:u w:val="none"/>
        </w:rPr>
        <w:t xml:space="preserve">Las rectificaciones de los ingresos y gastos de ejercicios anteriores; resultado de una corrección de errores contables, se registran como parte de los resultados de operación del año en que se efectúa la operación clasificándolos en las cuentas otros ingresos o </w:t>
      </w:r>
      <w:r w:rsidRPr="00D00BAF">
        <w:rPr>
          <w:u w:val="none"/>
        </w:rPr>
        <w:lastRenderedPageBreak/>
        <w:t>gastos no operacionales; las NIIF requieren que de ser importante, se carguen o acrediten a las utilidades acumuladas al inicio de este año.</w:t>
      </w:r>
    </w:p>
    <w:p w:rsidR="000E0885" w:rsidRPr="00D00BAF" w:rsidRDefault="000E0885">
      <w:pPr>
        <w:pStyle w:val="Textoindependiente3"/>
        <w:rPr>
          <w:u w:val="none"/>
        </w:rPr>
      </w:pPr>
    </w:p>
    <w:p w:rsidR="000E0885" w:rsidRPr="00D00BAF" w:rsidRDefault="000E0885">
      <w:pPr>
        <w:pStyle w:val="Textoindependiente3"/>
        <w:numPr>
          <w:ilvl w:val="0"/>
          <w:numId w:val="2"/>
        </w:numPr>
        <w:tabs>
          <w:tab w:val="clear" w:pos="720"/>
          <w:tab w:val="num" w:pos="426"/>
        </w:tabs>
        <w:ind w:left="426" w:hanging="426"/>
        <w:rPr>
          <w:szCs w:val="24"/>
          <w:u w:val="none"/>
        </w:rPr>
      </w:pPr>
      <w:r w:rsidRPr="00D00BAF">
        <w:rPr>
          <w:u w:val="none"/>
        </w:rPr>
        <w:t>No</w:t>
      </w:r>
      <w:r w:rsidRPr="00D00BAF">
        <w:rPr>
          <w:szCs w:val="24"/>
          <w:u w:val="none"/>
          <w:lang w:eastAsia="en-US"/>
        </w:rPr>
        <w:t xml:space="preserve"> se registran impuestos diferidos; las NIIF requieren el reconocimiento de éstos cuando la base de valuación fiscal de los activos y pasivos difiere de lo financiero contable.</w:t>
      </w:r>
    </w:p>
    <w:p w:rsidR="000E0885" w:rsidRPr="00D00BAF" w:rsidRDefault="000E0885">
      <w:pPr>
        <w:pStyle w:val="Textoindependiente3"/>
        <w:rPr>
          <w:szCs w:val="24"/>
          <w:u w:val="none"/>
        </w:rPr>
      </w:pPr>
    </w:p>
    <w:p w:rsidR="000E0885" w:rsidRPr="00D00BAF" w:rsidRDefault="000E0885">
      <w:pPr>
        <w:pStyle w:val="Textoindependiente3"/>
        <w:numPr>
          <w:ilvl w:val="0"/>
          <w:numId w:val="2"/>
        </w:numPr>
        <w:tabs>
          <w:tab w:val="clear" w:pos="720"/>
          <w:tab w:val="num" w:pos="426"/>
        </w:tabs>
        <w:ind w:left="426" w:hanging="426"/>
        <w:rPr>
          <w:u w:val="none"/>
        </w:rPr>
      </w:pPr>
      <w:r w:rsidRPr="00D00BAF">
        <w:rPr>
          <w:u w:val="none"/>
        </w:rPr>
        <w:t>Los</w:t>
      </w:r>
      <w:r w:rsidRPr="00D00BAF">
        <w:rPr>
          <w:szCs w:val="24"/>
          <w:u w:val="none"/>
        </w:rPr>
        <w:t xml:space="preserve"> activos extraordinarios deben tratarse bajo la NIIF 5, de acuerdo con la cual debe reconocerse una pérdida por deterioro para cualquier activo dado de baja al momento inicial o subsecuente al valor justo menos los costos para vender. Bajo NIIF las reservas constituidas por ley para los activos extraordinarios no forman parte de los resultados del ejercicio; éstas son apropiaciones de las utilidades retenidas. Las normas vigentes disponen que la utilidad por venta de activos extraordinarios con financiamiento se reconocen como ingreso hasta que dicha utilidad se ha percibido, lo cual no está de acuerdo con las NIIF.</w:t>
      </w:r>
    </w:p>
    <w:p w:rsidR="00C82C43" w:rsidRPr="00D00BAF" w:rsidRDefault="00C82C43" w:rsidP="00C82C43">
      <w:pPr>
        <w:pStyle w:val="Prrafodelista"/>
      </w:pPr>
    </w:p>
    <w:p w:rsidR="00C82C43" w:rsidRPr="00D00BAF" w:rsidRDefault="00C82C43" w:rsidP="00C82C43">
      <w:pPr>
        <w:pStyle w:val="Textoindependiente3"/>
        <w:ind w:left="426"/>
        <w:rPr>
          <w:u w:val="none"/>
        </w:rPr>
      </w:pPr>
    </w:p>
    <w:sectPr w:rsidR="00C82C43" w:rsidRPr="00D00BAF">
      <w:footerReference w:type="even" r:id="rId41"/>
      <w:footerReference w:type="default" r:id="rId42"/>
      <w:footerReference w:type="first" r:id="rId43"/>
      <w:pgSz w:w="12240" w:h="15840" w:code="1"/>
      <w:pgMar w:top="1412" w:right="1531" w:bottom="141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C96" w:rsidRDefault="00A36C96">
      <w:r>
        <w:separator/>
      </w:r>
    </w:p>
  </w:endnote>
  <w:endnote w:type="continuationSeparator" w:id="0">
    <w:p w:rsidR="00A36C96" w:rsidRDefault="00A3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7E" w:rsidRDefault="0033527E">
    <w:pPr>
      <w:pStyle w:val="Piedepgina"/>
      <w:framePr w:wrap="around" w:vAnchor="text" w:hAnchor="margin" w:xAlign="center" w:y="1"/>
      <w:rPr>
        <w:rStyle w:val="Nmerodepgina"/>
      </w:rPr>
    </w:pPr>
    <w:r>
      <w:rPr>
        <w:rStyle w:val="Nmerodepgina"/>
      </w:rPr>
      <w:fldChar w:fldCharType="begin"/>
    </w:r>
    <w:r>
      <w:rPr>
        <w:rStyle w:val="Nmerodepgina"/>
      </w:rPr>
      <w:instrText xml:space="preserve">PÁGINA  </w:instrText>
    </w:r>
    <w:r>
      <w:rPr>
        <w:rStyle w:val="Nmerodepgina"/>
      </w:rPr>
      <w:fldChar w:fldCharType="separate"/>
    </w:r>
    <w:r>
      <w:rPr>
        <w:rStyle w:val="Nmerodepgina"/>
        <w:b/>
        <w:bCs/>
      </w:rPr>
      <w:t>¡Error! Marcador no definido.</w:t>
    </w:r>
    <w:r>
      <w:rPr>
        <w:rStyle w:val="Nmerodepgina"/>
      </w:rPr>
      <w:fldChar w:fldCharType="end"/>
    </w:r>
  </w:p>
  <w:p w:rsidR="0033527E" w:rsidRDefault="0033527E">
    <w:pPr>
      <w:pStyle w:val="Piedepgina"/>
    </w:pPr>
  </w:p>
  <w:p w:rsidR="0033527E" w:rsidRDefault="0033527E"/>
  <w:p w:rsidR="0033527E" w:rsidRDefault="0033527E">
    <w:pPr>
      <w:pStyle w:val="Piedepgina"/>
      <w:framePr w:wrap="around" w:vAnchor="text" w:hAnchor="margin" w:xAlign="center" w:y="1"/>
      <w:rPr>
        <w:rStyle w:val="Nmerodepgina"/>
      </w:rPr>
    </w:pPr>
    <w:r>
      <w:rPr>
        <w:rStyle w:val="Nmerodepgina"/>
      </w:rPr>
      <w:fldChar w:fldCharType="begin"/>
    </w:r>
    <w:r>
      <w:rPr>
        <w:rStyle w:val="Nmerodepgina"/>
      </w:rPr>
      <w:instrText xml:space="preserve">PÁGINA  </w:instrText>
    </w:r>
    <w:r>
      <w:rPr>
        <w:rStyle w:val="Nmerodepgina"/>
      </w:rPr>
      <w:fldChar w:fldCharType="separate"/>
    </w:r>
    <w:r>
      <w:rPr>
        <w:rStyle w:val="Nmerodepgina"/>
        <w:noProof/>
      </w:rPr>
      <w:t>27</w:t>
    </w:r>
    <w:r>
      <w:rPr>
        <w:rStyle w:val="Nmerodepgina"/>
        <w:b/>
        <w:bCs/>
      </w:rPr>
      <w:t>¡Error! Marcador no definido.</w:t>
    </w:r>
    <w:r>
      <w:rPr>
        <w:rStyle w:val="Nmerodepgina"/>
      </w:rPr>
      <w:fldChar w:fldCharType="end"/>
    </w:r>
  </w:p>
  <w:p w:rsidR="0033527E" w:rsidRDefault="0033527E">
    <w:pPr>
      <w:pStyle w:val="Piedepgina"/>
    </w:pPr>
    <w:r>
      <w:fldChar w:fldCharType="begin"/>
    </w:r>
    <w:r>
      <w:instrText xml:space="preserve"> FECHA \@ "d/MM/aa" </w:instrText>
    </w:r>
    <w:r>
      <w:fldChar w:fldCharType="separate"/>
    </w:r>
    <w:r>
      <w:rPr>
        <w:noProof/>
      </w:rPr>
      <w:t>12/10/01</w:t>
    </w:r>
    <w:r>
      <w:rPr>
        <w:b/>
        <w:bCs/>
      </w:rPr>
      <w:t>¡Error! Marcador no definido.</w:t>
    </w:r>
    <w:r>
      <w:fldChar w:fldCharType="end"/>
    </w:r>
    <w:r>
      <w:t xml:space="preserve">  </w:t>
    </w:r>
    <w:r>
      <w:fldChar w:fldCharType="begin"/>
    </w:r>
    <w:r>
      <w:instrText xml:space="preserve"> HORA \@ "H:mm" </w:instrText>
    </w:r>
    <w:r>
      <w:fldChar w:fldCharType="separate"/>
    </w:r>
    <w:r>
      <w:rPr>
        <w:noProof/>
      </w:rPr>
      <w:t>15:51</w:t>
    </w:r>
    <w:r>
      <w:rPr>
        <w:b/>
        <w:bCs/>
      </w:rPr>
      <w:t>¡Error! Marcador no definido.</w:t>
    </w:r>
    <w:r>
      <w:fldChar w:fldCharType="end"/>
    </w:r>
    <w:r>
      <w:t xml:space="preserve">  NCB-017</w:t>
    </w:r>
  </w:p>
  <w:p w:rsidR="0033527E" w:rsidRDefault="0033527E"/>
  <w:p w:rsidR="0033527E" w:rsidRDefault="0033527E">
    <w:pPr>
      <w:pStyle w:val="Piedepgina"/>
    </w:pPr>
    <w:r>
      <w:fldChar w:fldCharType="begin"/>
    </w:r>
    <w:r>
      <w:instrText xml:space="preserve"> FECHA \@ "d/MM/aa" </w:instrText>
    </w:r>
    <w:r>
      <w:fldChar w:fldCharType="separate"/>
    </w:r>
    <w:r>
      <w:rPr>
        <w:noProof/>
      </w:rPr>
      <w:t>12/10/01</w:t>
    </w:r>
    <w:r>
      <w:rPr>
        <w:b/>
        <w:bCs/>
      </w:rPr>
      <w:t>¡Error! Marcador no definido.</w:t>
    </w:r>
    <w:r>
      <w:fldChar w:fldCharType="end"/>
    </w:r>
    <w:r>
      <w:t xml:space="preserve">   </w:t>
    </w:r>
    <w:r>
      <w:fldChar w:fldCharType="begin"/>
    </w:r>
    <w:r>
      <w:instrText xml:space="preserve"> HORA \@ "H:mm" </w:instrText>
    </w:r>
    <w:r>
      <w:fldChar w:fldCharType="separate"/>
    </w:r>
    <w:r>
      <w:rPr>
        <w:noProof/>
      </w:rPr>
      <w:t>15:51</w:t>
    </w:r>
    <w:r>
      <w:rPr>
        <w:b/>
        <w:bCs/>
      </w:rPr>
      <w:t>¡Error! Marcador no definido.</w:t>
    </w:r>
    <w:r>
      <w:fldChar w:fldCharType="end"/>
    </w:r>
  </w:p>
  <w:p w:rsidR="0033527E" w:rsidRDefault="003352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7E" w:rsidRDefault="0033527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78FF">
      <w:rPr>
        <w:rStyle w:val="Nmerodepgina"/>
        <w:noProof/>
      </w:rPr>
      <w:t>1</w:t>
    </w:r>
    <w:r>
      <w:rPr>
        <w:rStyle w:val="Nmerodepgina"/>
      </w:rPr>
      <w:fldChar w:fldCharType="end"/>
    </w:r>
  </w:p>
  <w:p w:rsidR="0033527E" w:rsidRDefault="0033527E">
    <w:pPr>
      <w:pStyle w:val="Piedepgina"/>
    </w:pPr>
    <w:r>
      <w:fldChar w:fldCharType="begin"/>
    </w:r>
    <w:r>
      <w:instrText xml:space="preserve"> TIME \@ "H:mm" </w:instrText>
    </w:r>
    <w:r>
      <w:fldChar w:fldCharType="separate"/>
    </w:r>
    <w:r w:rsidR="00FE78FF">
      <w:rPr>
        <w:noProof/>
      </w:rPr>
      <w:t>9:17</w:t>
    </w:r>
    <w:r>
      <w:fldChar w:fldCharType="end"/>
    </w:r>
    <w:r>
      <w:t xml:space="preserve">  NCB-018 </w:t>
    </w:r>
    <w:r>
      <w:fldChar w:fldCharType="begin"/>
    </w:r>
    <w:r>
      <w:instrText xml:space="preserve"> DATE \@ "dd/MM/yyyy" </w:instrText>
    </w:r>
    <w:r>
      <w:fldChar w:fldCharType="separate"/>
    </w:r>
    <w:r w:rsidR="00FE78FF">
      <w:rPr>
        <w:noProof/>
      </w:rPr>
      <w:t>27/04/2016</w:t>
    </w:r>
    <w:r>
      <w:fldChar w:fldCharType="end"/>
    </w:r>
    <w:r>
      <w:t xml:space="preserve">  Publicación.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27E" w:rsidRDefault="0033527E">
    <w:pPr>
      <w:pStyle w:val="Piedepgina"/>
    </w:pPr>
    <w:r>
      <w:fldChar w:fldCharType="begin"/>
    </w:r>
    <w:r>
      <w:instrText xml:space="preserve"> DATE \@ "d/MM/aa" </w:instrText>
    </w:r>
    <w:r>
      <w:fldChar w:fldCharType="separate"/>
    </w:r>
    <w:r w:rsidR="00FE78FF">
      <w:rPr>
        <w:noProof/>
      </w:rPr>
      <w:t>27/04/a</w:t>
    </w:r>
    <w:r>
      <w:fldChar w:fldCharType="end"/>
    </w:r>
    <w:r>
      <w:t xml:space="preserve">   </w:t>
    </w:r>
    <w:r>
      <w:fldChar w:fldCharType="begin"/>
    </w:r>
    <w:r>
      <w:instrText xml:space="preserve"> TIME \@ "H:mm" </w:instrText>
    </w:r>
    <w:r>
      <w:fldChar w:fldCharType="separate"/>
    </w:r>
    <w:r w:rsidR="00FE78FF">
      <w:rPr>
        <w:noProof/>
      </w:rPr>
      <w:t>9:17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C96" w:rsidRDefault="00A36C96">
      <w:r>
        <w:separator/>
      </w:r>
    </w:p>
  </w:footnote>
  <w:footnote w:type="continuationSeparator" w:id="0">
    <w:p w:rsidR="00A36C96" w:rsidRDefault="00A36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9C"/>
    <w:multiLevelType w:val="hybridMultilevel"/>
    <w:tmpl w:val="36C6978A"/>
    <w:lvl w:ilvl="0" w:tplc="32BA5A24">
      <w:start w:val="1"/>
      <w:numFmt w:val="upperLetter"/>
      <w:lvlText w:val="%1."/>
      <w:lvlJc w:val="left"/>
      <w:pPr>
        <w:tabs>
          <w:tab w:val="num" w:pos="1506"/>
        </w:tabs>
        <w:ind w:left="150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C52FBD"/>
    <w:multiLevelType w:val="hybridMultilevel"/>
    <w:tmpl w:val="73143C20"/>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B205BF5"/>
    <w:multiLevelType w:val="hybridMultilevel"/>
    <w:tmpl w:val="B0F4045C"/>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1F8E5275"/>
    <w:multiLevelType w:val="hybridMultilevel"/>
    <w:tmpl w:val="1786B3DC"/>
    <w:lvl w:ilvl="0" w:tplc="173CD226">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1310E41"/>
    <w:multiLevelType w:val="hybridMultilevel"/>
    <w:tmpl w:val="556EF0C4"/>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24AD372D"/>
    <w:multiLevelType w:val="hybridMultilevel"/>
    <w:tmpl w:val="D6EA888E"/>
    <w:lvl w:ilvl="0" w:tplc="85A6A6DE">
      <w:start w:val="1"/>
      <w:numFmt w:val="decimal"/>
      <w:lvlText w:val="NOTA %1."/>
      <w:lvlJc w:val="left"/>
      <w:pPr>
        <w:tabs>
          <w:tab w:val="num" w:pos="1080"/>
        </w:tabs>
        <w:ind w:left="511" w:hanging="511"/>
      </w:pPr>
      <w:rPr>
        <w:rFonts w:ascii="Times New Roman" w:hAnsi="Times New Roman" w:hint="default"/>
        <w:b/>
        <w:i w:val="0"/>
        <w:color w:val="auto"/>
        <w:sz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25C94787"/>
    <w:multiLevelType w:val="hybridMultilevel"/>
    <w:tmpl w:val="B7968942"/>
    <w:lvl w:ilvl="0" w:tplc="99CE1E1A">
      <w:start w:val="10"/>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2ACC0599"/>
    <w:multiLevelType w:val="hybridMultilevel"/>
    <w:tmpl w:val="3E162E40"/>
    <w:lvl w:ilvl="0" w:tplc="F67E0168">
      <w:start w:val="1"/>
      <w:numFmt w:val="decimal"/>
      <w:lvlText w:val="NOTA %1."/>
      <w:lvlJc w:val="left"/>
      <w:pPr>
        <w:tabs>
          <w:tab w:val="num" w:pos="1080"/>
        </w:tabs>
        <w:ind w:left="284" w:hanging="284"/>
      </w:pPr>
      <w:rPr>
        <w:rFonts w:hint="default"/>
      </w:rPr>
    </w:lvl>
    <w:lvl w:ilvl="1" w:tplc="0C0A0015">
      <w:start w:val="1"/>
      <w:numFmt w:val="upperLetter"/>
      <w:lvlText w:val="%2."/>
      <w:lvlJc w:val="left"/>
      <w:pPr>
        <w:tabs>
          <w:tab w:val="num" w:pos="1800"/>
        </w:tabs>
        <w:ind w:left="180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2F0512E8"/>
    <w:multiLevelType w:val="hybridMultilevel"/>
    <w:tmpl w:val="F8627A7E"/>
    <w:lvl w:ilvl="0" w:tplc="AD6EEECA">
      <w:start w:val="1"/>
      <w:numFmt w:val="upperLetter"/>
      <w:lvlText w:val="A.%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316B078F"/>
    <w:multiLevelType w:val="hybridMultilevel"/>
    <w:tmpl w:val="4EC8D884"/>
    <w:lvl w:ilvl="0" w:tplc="99CE1E1A">
      <w:start w:val="10"/>
      <w:numFmt w:val="bullet"/>
      <w:lvlText w:val="-"/>
      <w:lvlJc w:val="left"/>
      <w:pPr>
        <w:ind w:left="1146" w:hanging="360"/>
      </w:pPr>
      <w:rPr>
        <w:rFonts w:ascii="Times New Roman" w:eastAsia="Times New Roman" w:hAnsi="Times New Roman" w:cs="Times New Roman" w:hint="default"/>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10">
    <w:nsid w:val="3428309C"/>
    <w:multiLevelType w:val="multilevel"/>
    <w:tmpl w:val="1B365CDC"/>
    <w:lvl w:ilvl="0">
      <w:start w:val="10"/>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upperLetter"/>
      <w:lvlText w:val="%2."/>
      <w:lvlJc w:val="left"/>
      <w:pPr>
        <w:tabs>
          <w:tab w:val="num" w:pos="1506"/>
        </w:tabs>
        <w:ind w:left="1506" w:hanging="360"/>
      </w:pPr>
      <w:rPr>
        <w:rFonts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1">
    <w:nsid w:val="377E1A0E"/>
    <w:multiLevelType w:val="hybridMultilevel"/>
    <w:tmpl w:val="C3CAA802"/>
    <w:lvl w:ilvl="0" w:tplc="57DE6B66">
      <w:start w:val="1"/>
      <w:numFmt w:val="upperLetter"/>
      <w:lvlText w:val="%1."/>
      <w:lvlJc w:val="left"/>
      <w:pPr>
        <w:ind w:left="1068" w:hanging="708"/>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38D209BA"/>
    <w:multiLevelType w:val="singleLevel"/>
    <w:tmpl w:val="9F842CDC"/>
    <w:lvl w:ilvl="0">
      <w:start w:val="1"/>
      <w:numFmt w:val="upperLetter"/>
      <w:lvlText w:val="%1"/>
      <w:lvlJc w:val="left"/>
      <w:pPr>
        <w:ind w:left="720" w:hanging="360"/>
      </w:pPr>
      <w:rPr>
        <w:rFonts w:hint="default"/>
      </w:rPr>
    </w:lvl>
  </w:abstractNum>
  <w:abstractNum w:abstractNumId="13">
    <w:nsid w:val="39DD11AE"/>
    <w:multiLevelType w:val="singleLevel"/>
    <w:tmpl w:val="0C0A000F"/>
    <w:lvl w:ilvl="0">
      <w:start w:val="1"/>
      <w:numFmt w:val="decimal"/>
      <w:lvlText w:val="%1."/>
      <w:lvlJc w:val="left"/>
      <w:pPr>
        <w:tabs>
          <w:tab w:val="num" w:pos="720"/>
        </w:tabs>
        <w:ind w:left="720" w:hanging="360"/>
      </w:pPr>
    </w:lvl>
  </w:abstractNum>
  <w:abstractNum w:abstractNumId="14">
    <w:nsid w:val="3A20142D"/>
    <w:multiLevelType w:val="hybridMultilevel"/>
    <w:tmpl w:val="860C0018"/>
    <w:lvl w:ilvl="0" w:tplc="173CD226">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06529C6"/>
    <w:multiLevelType w:val="hybridMultilevel"/>
    <w:tmpl w:val="032608C6"/>
    <w:lvl w:ilvl="0" w:tplc="200E083A">
      <w:start w:val="1"/>
      <w:numFmt w:val="upp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
    <w:nsid w:val="43EE4FE1"/>
    <w:multiLevelType w:val="hybridMultilevel"/>
    <w:tmpl w:val="1B365CDC"/>
    <w:lvl w:ilvl="0" w:tplc="99CE1E1A">
      <w:start w:val="10"/>
      <w:numFmt w:val="bullet"/>
      <w:lvlText w:val="-"/>
      <w:lvlJc w:val="left"/>
      <w:pPr>
        <w:tabs>
          <w:tab w:val="num" w:pos="786"/>
        </w:tabs>
        <w:ind w:left="786" w:hanging="360"/>
      </w:pPr>
      <w:rPr>
        <w:rFonts w:ascii="Times New Roman" w:eastAsia="Times New Roman" w:hAnsi="Times New Roman" w:cs="Times New Roman" w:hint="default"/>
      </w:rPr>
    </w:lvl>
    <w:lvl w:ilvl="1" w:tplc="880CCCCE">
      <w:start w:val="1"/>
      <w:numFmt w:val="upperLetter"/>
      <w:lvlText w:val="%2."/>
      <w:lvlJc w:val="left"/>
      <w:pPr>
        <w:tabs>
          <w:tab w:val="num" w:pos="1506"/>
        </w:tabs>
        <w:ind w:left="1506" w:hanging="360"/>
      </w:pPr>
      <w:rPr>
        <w:rFonts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7">
    <w:nsid w:val="45B50491"/>
    <w:multiLevelType w:val="singleLevel"/>
    <w:tmpl w:val="A4480582"/>
    <w:lvl w:ilvl="0">
      <w:start w:val="1"/>
      <w:numFmt w:val="upperRoman"/>
      <w:pStyle w:val="Ttulo3"/>
      <w:lvlText w:val="%1."/>
      <w:lvlJc w:val="left"/>
      <w:pPr>
        <w:tabs>
          <w:tab w:val="num" w:pos="705"/>
        </w:tabs>
        <w:ind w:left="705" w:hanging="705"/>
      </w:pPr>
      <w:rPr>
        <w:b w:val="0"/>
        <w:i w:val="0"/>
      </w:rPr>
    </w:lvl>
  </w:abstractNum>
  <w:abstractNum w:abstractNumId="18">
    <w:nsid w:val="45EA5FA1"/>
    <w:multiLevelType w:val="singleLevel"/>
    <w:tmpl w:val="40E87E14"/>
    <w:lvl w:ilvl="0">
      <w:start w:val="2"/>
      <w:numFmt w:val="lowerLetter"/>
      <w:lvlText w:val="%1)"/>
      <w:lvlJc w:val="left"/>
      <w:pPr>
        <w:tabs>
          <w:tab w:val="num" w:pos="705"/>
        </w:tabs>
        <w:ind w:left="705" w:hanging="705"/>
      </w:pPr>
      <w:rPr>
        <w:rFonts w:hint="default"/>
      </w:rPr>
    </w:lvl>
  </w:abstractNum>
  <w:abstractNum w:abstractNumId="19">
    <w:nsid w:val="48A80C07"/>
    <w:multiLevelType w:val="hybridMultilevel"/>
    <w:tmpl w:val="2C589282"/>
    <w:lvl w:ilvl="0" w:tplc="440A000F">
      <w:start w:val="1"/>
      <w:numFmt w:val="decimal"/>
      <w:lvlText w:val="%1."/>
      <w:lvlJc w:val="left"/>
      <w:pPr>
        <w:ind w:left="720" w:hanging="360"/>
      </w:pPr>
      <w:rPr>
        <w:rFonts w:ascii="Times New Roman" w:hAnsi="Times New Roman" w:cs="Times New Roman"/>
      </w:rPr>
    </w:lvl>
    <w:lvl w:ilvl="1" w:tplc="440A0019">
      <w:start w:val="1"/>
      <w:numFmt w:val="lowerLetter"/>
      <w:lvlText w:val="%2."/>
      <w:lvlJc w:val="left"/>
      <w:pPr>
        <w:ind w:left="1440" w:hanging="360"/>
      </w:pPr>
      <w:rPr>
        <w:rFonts w:ascii="Times New Roman" w:hAnsi="Times New Roman" w:cs="Times New Roman"/>
      </w:rPr>
    </w:lvl>
    <w:lvl w:ilvl="2" w:tplc="440A001B">
      <w:start w:val="1"/>
      <w:numFmt w:val="lowerRoman"/>
      <w:lvlText w:val="%3."/>
      <w:lvlJc w:val="right"/>
      <w:pPr>
        <w:ind w:left="2160" w:hanging="180"/>
      </w:pPr>
      <w:rPr>
        <w:rFonts w:ascii="Times New Roman" w:hAnsi="Times New Roman" w:cs="Times New Roman"/>
      </w:rPr>
    </w:lvl>
    <w:lvl w:ilvl="3" w:tplc="440A000F">
      <w:start w:val="1"/>
      <w:numFmt w:val="decimal"/>
      <w:lvlText w:val="%4."/>
      <w:lvlJc w:val="left"/>
      <w:pPr>
        <w:ind w:left="2880" w:hanging="360"/>
      </w:pPr>
      <w:rPr>
        <w:rFonts w:ascii="Times New Roman" w:hAnsi="Times New Roman" w:cs="Times New Roman"/>
      </w:rPr>
    </w:lvl>
    <w:lvl w:ilvl="4" w:tplc="440A0019">
      <w:start w:val="1"/>
      <w:numFmt w:val="lowerLetter"/>
      <w:lvlText w:val="%5."/>
      <w:lvlJc w:val="left"/>
      <w:pPr>
        <w:ind w:left="3600" w:hanging="360"/>
      </w:pPr>
      <w:rPr>
        <w:rFonts w:ascii="Times New Roman" w:hAnsi="Times New Roman" w:cs="Times New Roman"/>
      </w:rPr>
    </w:lvl>
    <w:lvl w:ilvl="5" w:tplc="440A001B">
      <w:start w:val="1"/>
      <w:numFmt w:val="lowerRoman"/>
      <w:lvlText w:val="%6."/>
      <w:lvlJc w:val="right"/>
      <w:pPr>
        <w:ind w:left="4320" w:hanging="180"/>
      </w:pPr>
      <w:rPr>
        <w:rFonts w:ascii="Times New Roman" w:hAnsi="Times New Roman" w:cs="Times New Roman"/>
      </w:rPr>
    </w:lvl>
    <w:lvl w:ilvl="6" w:tplc="440A000F">
      <w:start w:val="1"/>
      <w:numFmt w:val="decimal"/>
      <w:lvlText w:val="%7."/>
      <w:lvlJc w:val="left"/>
      <w:pPr>
        <w:ind w:left="5040" w:hanging="360"/>
      </w:pPr>
      <w:rPr>
        <w:rFonts w:ascii="Times New Roman" w:hAnsi="Times New Roman" w:cs="Times New Roman"/>
      </w:rPr>
    </w:lvl>
    <w:lvl w:ilvl="7" w:tplc="440A0019">
      <w:start w:val="1"/>
      <w:numFmt w:val="lowerLetter"/>
      <w:lvlText w:val="%8."/>
      <w:lvlJc w:val="left"/>
      <w:pPr>
        <w:ind w:left="5760" w:hanging="360"/>
      </w:pPr>
      <w:rPr>
        <w:rFonts w:ascii="Times New Roman" w:hAnsi="Times New Roman" w:cs="Times New Roman"/>
      </w:rPr>
    </w:lvl>
    <w:lvl w:ilvl="8" w:tplc="440A001B">
      <w:start w:val="1"/>
      <w:numFmt w:val="lowerRoman"/>
      <w:lvlText w:val="%9."/>
      <w:lvlJc w:val="right"/>
      <w:pPr>
        <w:ind w:left="6480" w:hanging="180"/>
      </w:pPr>
      <w:rPr>
        <w:rFonts w:ascii="Times New Roman" w:hAnsi="Times New Roman" w:cs="Times New Roman"/>
      </w:rPr>
    </w:lvl>
  </w:abstractNum>
  <w:abstractNum w:abstractNumId="20">
    <w:nsid w:val="4EBD68E2"/>
    <w:multiLevelType w:val="hybridMultilevel"/>
    <w:tmpl w:val="01902B88"/>
    <w:lvl w:ilvl="0" w:tplc="99CE1E1A">
      <w:start w:val="10"/>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nsid w:val="540D3BF1"/>
    <w:multiLevelType w:val="hybridMultilevel"/>
    <w:tmpl w:val="088AEA10"/>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56EC5D7F"/>
    <w:multiLevelType w:val="multilevel"/>
    <w:tmpl w:val="4B3800CC"/>
    <w:lvl w:ilvl="0">
      <w:start w:val="1"/>
      <w:numFmt w:val="decimal"/>
      <w:lvlText w:val="NOTA %1."/>
      <w:lvlJc w:val="left"/>
      <w:pPr>
        <w:tabs>
          <w:tab w:val="num" w:pos="1080"/>
        </w:tabs>
        <w:ind w:left="284" w:hanging="284"/>
      </w:pPr>
      <w:rPr>
        <w:rFonts w:hint="default"/>
      </w:rPr>
    </w:lvl>
    <w:lvl w:ilvl="1">
      <w:start w:val="1"/>
      <w:numFmt w:val="upp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A0D6302"/>
    <w:multiLevelType w:val="hybridMultilevel"/>
    <w:tmpl w:val="0A64E070"/>
    <w:lvl w:ilvl="0" w:tplc="6E90FBBA">
      <w:start w:val="1"/>
      <w:numFmt w:val="lowerLetter"/>
      <w:lvlText w:val="%1."/>
      <w:lvlJc w:val="left"/>
      <w:pPr>
        <w:ind w:left="1777"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24">
    <w:nsid w:val="5A761CF7"/>
    <w:multiLevelType w:val="singleLevel"/>
    <w:tmpl w:val="CFD22F0A"/>
    <w:lvl w:ilvl="0">
      <w:start w:val="1"/>
      <w:numFmt w:val="lowerLetter"/>
      <w:lvlText w:val="%1)"/>
      <w:lvlJc w:val="left"/>
      <w:pPr>
        <w:tabs>
          <w:tab w:val="num" w:pos="705"/>
        </w:tabs>
        <w:ind w:left="705" w:hanging="705"/>
      </w:pPr>
      <w:rPr>
        <w:rFonts w:hint="default"/>
      </w:rPr>
    </w:lvl>
  </w:abstractNum>
  <w:abstractNum w:abstractNumId="25">
    <w:nsid w:val="5BB158BE"/>
    <w:multiLevelType w:val="hybridMultilevel"/>
    <w:tmpl w:val="2DBE55FE"/>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61EC5B4F"/>
    <w:multiLevelType w:val="hybridMultilevel"/>
    <w:tmpl w:val="7E7CC242"/>
    <w:lvl w:ilvl="0" w:tplc="440A0015">
      <w:start w:val="1"/>
      <w:numFmt w:val="upp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7">
    <w:nsid w:val="650C570C"/>
    <w:multiLevelType w:val="hybridMultilevel"/>
    <w:tmpl w:val="836410EC"/>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6652216A"/>
    <w:multiLevelType w:val="hybridMultilevel"/>
    <w:tmpl w:val="1F24FC04"/>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673241CA"/>
    <w:multiLevelType w:val="hybridMultilevel"/>
    <w:tmpl w:val="72A45D14"/>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6AFD4371"/>
    <w:multiLevelType w:val="hybridMultilevel"/>
    <w:tmpl w:val="8C3C5284"/>
    <w:lvl w:ilvl="0" w:tplc="376EC204">
      <w:start w:val="1"/>
      <w:numFmt w:val="lowerLetter"/>
      <w:lvlText w:val="%1)"/>
      <w:lvlJc w:val="left"/>
      <w:pPr>
        <w:tabs>
          <w:tab w:val="num" w:pos="1777"/>
        </w:tabs>
        <w:ind w:left="1777" w:hanging="360"/>
      </w:pPr>
      <w:rPr>
        <w:rFonts w:hint="default"/>
      </w:rPr>
    </w:lvl>
    <w:lvl w:ilvl="1" w:tplc="0C0A0019" w:tentative="1">
      <w:start w:val="1"/>
      <w:numFmt w:val="lowerLetter"/>
      <w:lvlText w:val="%2."/>
      <w:lvlJc w:val="left"/>
      <w:pPr>
        <w:tabs>
          <w:tab w:val="num" w:pos="2497"/>
        </w:tabs>
        <w:ind w:left="2497" w:hanging="360"/>
      </w:pPr>
    </w:lvl>
    <w:lvl w:ilvl="2" w:tplc="0C0A001B" w:tentative="1">
      <w:start w:val="1"/>
      <w:numFmt w:val="lowerRoman"/>
      <w:lvlText w:val="%3."/>
      <w:lvlJc w:val="right"/>
      <w:pPr>
        <w:tabs>
          <w:tab w:val="num" w:pos="3217"/>
        </w:tabs>
        <w:ind w:left="3217" w:hanging="180"/>
      </w:pPr>
    </w:lvl>
    <w:lvl w:ilvl="3" w:tplc="0C0A000F" w:tentative="1">
      <w:start w:val="1"/>
      <w:numFmt w:val="decimal"/>
      <w:lvlText w:val="%4."/>
      <w:lvlJc w:val="left"/>
      <w:pPr>
        <w:tabs>
          <w:tab w:val="num" w:pos="3937"/>
        </w:tabs>
        <w:ind w:left="3937" w:hanging="360"/>
      </w:pPr>
    </w:lvl>
    <w:lvl w:ilvl="4" w:tplc="0C0A0019" w:tentative="1">
      <w:start w:val="1"/>
      <w:numFmt w:val="lowerLetter"/>
      <w:lvlText w:val="%5."/>
      <w:lvlJc w:val="left"/>
      <w:pPr>
        <w:tabs>
          <w:tab w:val="num" w:pos="4657"/>
        </w:tabs>
        <w:ind w:left="4657" w:hanging="360"/>
      </w:pPr>
    </w:lvl>
    <w:lvl w:ilvl="5" w:tplc="0C0A001B" w:tentative="1">
      <w:start w:val="1"/>
      <w:numFmt w:val="lowerRoman"/>
      <w:lvlText w:val="%6."/>
      <w:lvlJc w:val="right"/>
      <w:pPr>
        <w:tabs>
          <w:tab w:val="num" w:pos="5377"/>
        </w:tabs>
        <w:ind w:left="5377" w:hanging="180"/>
      </w:pPr>
    </w:lvl>
    <w:lvl w:ilvl="6" w:tplc="0C0A000F" w:tentative="1">
      <w:start w:val="1"/>
      <w:numFmt w:val="decimal"/>
      <w:lvlText w:val="%7."/>
      <w:lvlJc w:val="left"/>
      <w:pPr>
        <w:tabs>
          <w:tab w:val="num" w:pos="6097"/>
        </w:tabs>
        <w:ind w:left="6097" w:hanging="360"/>
      </w:pPr>
    </w:lvl>
    <w:lvl w:ilvl="7" w:tplc="0C0A0019" w:tentative="1">
      <w:start w:val="1"/>
      <w:numFmt w:val="lowerLetter"/>
      <w:lvlText w:val="%8."/>
      <w:lvlJc w:val="left"/>
      <w:pPr>
        <w:tabs>
          <w:tab w:val="num" w:pos="6817"/>
        </w:tabs>
        <w:ind w:left="6817" w:hanging="360"/>
      </w:pPr>
    </w:lvl>
    <w:lvl w:ilvl="8" w:tplc="0C0A001B" w:tentative="1">
      <w:start w:val="1"/>
      <w:numFmt w:val="lowerRoman"/>
      <w:lvlText w:val="%9."/>
      <w:lvlJc w:val="right"/>
      <w:pPr>
        <w:tabs>
          <w:tab w:val="num" w:pos="7537"/>
        </w:tabs>
        <w:ind w:left="7537" w:hanging="180"/>
      </w:pPr>
    </w:lvl>
  </w:abstractNum>
  <w:abstractNum w:abstractNumId="31">
    <w:nsid w:val="6E267395"/>
    <w:multiLevelType w:val="hybridMultilevel"/>
    <w:tmpl w:val="77EAB27A"/>
    <w:lvl w:ilvl="0" w:tplc="57AAA4F6">
      <w:start w:val="1"/>
      <w:numFmt w:val="decimal"/>
      <w:lvlText w:val="%1."/>
      <w:lvlJc w:val="left"/>
      <w:pPr>
        <w:tabs>
          <w:tab w:val="num" w:pos="2680"/>
        </w:tabs>
        <w:ind w:left="2680" w:hanging="360"/>
      </w:pPr>
      <w:rPr>
        <w:rFonts w:ascii="Arial" w:hAnsi="Arial" w:hint="default"/>
        <w:b/>
        <w:i w:val="0"/>
        <w:sz w:val="24"/>
        <w:szCs w:val="24"/>
      </w:rPr>
    </w:lvl>
    <w:lvl w:ilvl="1" w:tplc="C86EC6D2">
      <w:start w:val="1"/>
      <w:numFmt w:val="lowerRoman"/>
      <w:lvlText w:val="%2."/>
      <w:lvlJc w:val="right"/>
      <w:pPr>
        <w:tabs>
          <w:tab w:val="num" w:pos="1260"/>
        </w:tabs>
        <w:ind w:left="1260" w:hanging="180"/>
      </w:pPr>
      <w:rPr>
        <w:rFonts w:hint="default"/>
        <w:b/>
        <w:i w:val="0"/>
        <w:sz w:val="24"/>
        <w:szCs w:val="24"/>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27C3CBF"/>
    <w:multiLevelType w:val="hybridMultilevel"/>
    <w:tmpl w:val="D74E4DE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74D2792F"/>
    <w:multiLevelType w:val="hybridMultilevel"/>
    <w:tmpl w:val="615210B0"/>
    <w:lvl w:ilvl="0" w:tplc="99CE1E1A">
      <w:start w:val="10"/>
      <w:numFmt w:val="bullet"/>
      <w:lvlText w:val="-"/>
      <w:lvlJc w:val="left"/>
      <w:pPr>
        <w:ind w:left="1146" w:hanging="360"/>
      </w:pPr>
      <w:rPr>
        <w:rFonts w:ascii="Times New Roman" w:eastAsia="Times New Roman" w:hAnsi="Times New Roman" w:cs="Times New Roman" w:hint="default"/>
      </w:rPr>
    </w:lvl>
    <w:lvl w:ilvl="1" w:tplc="440A0003" w:tentative="1">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34">
    <w:nsid w:val="76752A83"/>
    <w:multiLevelType w:val="singleLevel"/>
    <w:tmpl w:val="8D64E090"/>
    <w:lvl w:ilvl="0">
      <w:start w:val="1"/>
      <w:numFmt w:val="upperLetter"/>
      <w:lvlText w:val="%1."/>
      <w:lvlJc w:val="left"/>
      <w:pPr>
        <w:tabs>
          <w:tab w:val="num" w:pos="360"/>
        </w:tabs>
        <w:ind w:left="360" w:hanging="360"/>
      </w:pPr>
      <w:rPr>
        <w:rFonts w:hint="default"/>
      </w:rPr>
    </w:lvl>
  </w:abstractNum>
  <w:abstractNum w:abstractNumId="35">
    <w:nsid w:val="77971E9A"/>
    <w:multiLevelType w:val="hybridMultilevel"/>
    <w:tmpl w:val="7980C3E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77EA213C"/>
    <w:multiLevelType w:val="singleLevel"/>
    <w:tmpl w:val="230E10BA"/>
    <w:lvl w:ilvl="0">
      <w:start w:val="1"/>
      <w:numFmt w:val="lowerLetter"/>
      <w:lvlText w:val="%1)"/>
      <w:lvlJc w:val="left"/>
      <w:pPr>
        <w:tabs>
          <w:tab w:val="num" w:pos="720"/>
        </w:tabs>
        <w:ind w:left="720" w:hanging="720"/>
      </w:pPr>
      <w:rPr>
        <w:rFonts w:hint="default"/>
      </w:rPr>
    </w:lvl>
  </w:abstractNum>
  <w:num w:numId="1">
    <w:abstractNumId w:val="17"/>
  </w:num>
  <w:num w:numId="2">
    <w:abstractNumId w:val="13"/>
  </w:num>
  <w:num w:numId="3">
    <w:abstractNumId w:val="24"/>
  </w:num>
  <w:num w:numId="4">
    <w:abstractNumId w:val="18"/>
  </w:num>
  <w:num w:numId="5">
    <w:abstractNumId w:val="12"/>
  </w:num>
  <w:num w:numId="6">
    <w:abstractNumId w:val="5"/>
  </w:num>
  <w:num w:numId="7">
    <w:abstractNumId w:val="36"/>
    <w:lvlOverride w:ilvl="0">
      <w:startOverride w:val="1"/>
    </w:lvlOverride>
  </w:num>
  <w:num w:numId="8">
    <w:abstractNumId w:val="12"/>
    <w:lvlOverride w:ilvl="0">
      <w:startOverride w:val="1"/>
    </w:lvlOverride>
  </w:num>
  <w:num w:numId="9">
    <w:abstractNumId w:val="13"/>
    <w:lvlOverride w:ilvl="0">
      <w:startOverride w:val="1"/>
    </w:lvlOverride>
  </w:num>
  <w:num w:numId="10">
    <w:abstractNumId w:val="31"/>
  </w:num>
  <w:num w:numId="11">
    <w:abstractNumId w:val="9"/>
  </w:num>
  <w:num w:numId="12">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7"/>
  </w:num>
  <w:num w:numId="16">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2"/>
  </w:num>
  <w:num w:numId="19">
    <w:abstractNumId w:val="16"/>
  </w:num>
  <w:num w:numId="20">
    <w:abstractNumId w:val="23"/>
  </w:num>
  <w:num w:numId="21">
    <w:abstractNumId w:val="30"/>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0"/>
  </w:num>
  <w:num w:numId="26">
    <w:abstractNumId w:val="16"/>
    <w:lvlOverride w:ilvl="0"/>
    <w:lvlOverride w:ilvl="1">
      <w:startOverride w:val="1"/>
    </w:lvlOverride>
    <w:lvlOverride w:ilvl="2"/>
    <w:lvlOverride w:ilvl="3"/>
    <w:lvlOverride w:ilvl="4"/>
    <w:lvlOverride w:ilvl="5"/>
    <w:lvlOverride w:ilvl="6"/>
    <w:lvlOverride w:ilvl="7"/>
    <w:lvlOverride w:ilvl="8"/>
  </w:num>
  <w:num w:numId="27">
    <w:abstractNumId w:val="26"/>
  </w:num>
  <w:num w:numId="28">
    <w:abstractNumId w:val="33"/>
  </w:num>
  <w:num w:numId="29">
    <w:abstractNumId w:val="34"/>
  </w:num>
  <w:num w:numId="30">
    <w:abstractNumId w:val="15"/>
  </w:num>
  <w:num w:numId="31">
    <w:abstractNumId w:val="35"/>
  </w:num>
  <w:num w:numId="32">
    <w:abstractNumId w:val="8"/>
  </w:num>
  <w:num w:numId="33">
    <w:abstractNumId w:val="1"/>
  </w:num>
  <w:num w:numId="34">
    <w:abstractNumId w:val="4"/>
  </w:num>
  <w:num w:numId="35">
    <w:abstractNumId w:val="24"/>
    <w:lvlOverride w:ilvl="0">
      <w:startOverride w:val="1"/>
    </w:lvlOverride>
  </w:num>
  <w:num w:numId="36">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6"/>
  </w:num>
  <w:num w:numId="39">
    <w:abstractNumId w:val="20"/>
  </w:num>
  <w:num w:numId="40">
    <w:abstractNumId w:val="21"/>
  </w:num>
  <w:num w:numId="41">
    <w:abstractNumId w:val="28"/>
  </w:num>
  <w:num w:numId="42">
    <w:abstractNumId w:val="29"/>
  </w:num>
  <w:num w:numId="43">
    <w:abstractNumId w:val="2"/>
  </w:num>
  <w:num w:numId="44">
    <w:abstractNumId w:val="2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4E"/>
    <w:rsid w:val="00000CB6"/>
    <w:rsid w:val="00006A8E"/>
    <w:rsid w:val="00006E65"/>
    <w:rsid w:val="00011E7B"/>
    <w:rsid w:val="000127CB"/>
    <w:rsid w:val="0002658F"/>
    <w:rsid w:val="00026699"/>
    <w:rsid w:val="00027CAD"/>
    <w:rsid w:val="000354BB"/>
    <w:rsid w:val="00036B7C"/>
    <w:rsid w:val="00042D58"/>
    <w:rsid w:val="00053DA1"/>
    <w:rsid w:val="00056752"/>
    <w:rsid w:val="00057438"/>
    <w:rsid w:val="0006243B"/>
    <w:rsid w:val="000705D5"/>
    <w:rsid w:val="00072BF4"/>
    <w:rsid w:val="00073350"/>
    <w:rsid w:val="0007498E"/>
    <w:rsid w:val="000768D0"/>
    <w:rsid w:val="00083056"/>
    <w:rsid w:val="000906FF"/>
    <w:rsid w:val="0009265F"/>
    <w:rsid w:val="000A34C6"/>
    <w:rsid w:val="000A5BEB"/>
    <w:rsid w:val="000A6B23"/>
    <w:rsid w:val="000B1DE4"/>
    <w:rsid w:val="000B25EE"/>
    <w:rsid w:val="000B2BBF"/>
    <w:rsid w:val="000B452C"/>
    <w:rsid w:val="000B50F2"/>
    <w:rsid w:val="000B6EAF"/>
    <w:rsid w:val="000B70CD"/>
    <w:rsid w:val="000C0D91"/>
    <w:rsid w:val="000C67EC"/>
    <w:rsid w:val="000D4D08"/>
    <w:rsid w:val="000E0885"/>
    <w:rsid w:val="000E15E8"/>
    <w:rsid w:val="000E1FF0"/>
    <w:rsid w:val="000E6E18"/>
    <w:rsid w:val="000E7F01"/>
    <w:rsid w:val="000F3FBA"/>
    <w:rsid w:val="000F6D45"/>
    <w:rsid w:val="00102F01"/>
    <w:rsid w:val="00105521"/>
    <w:rsid w:val="00105A9E"/>
    <w:rsid w:val="001104EB"/>
    <w:rsid w:val="00110E92"/>
    <w:rsid w:val="0011566B"/>
    <w:rsid w:val="001234A6"/>
    <w:rsid w:val="00130A66"/>
    <w:rsid w:val="0013198E"/>
    <w:rsid w:val="001337EC"/>
    <w:rsid w:val="00134E04"/>
    <w:rsid w:val="0013647B"/>
    <w:rsid w:val="001366FA"/>
    <w:rsid w:val="0013768A"/>
    <w:rsid w:val="00142275"/>
    <w:rsid w:val="0014467A"/>
    <w:rsid w:val="00144884"/>
    <w:rsid w:val="00150737"/>
    <w:rsid w:val="00150F1C"/>
    <w:rsid w:val="001516E9"/>
    <w:rsid w:val="00153B66"/>
    <w:rsid w:val="00157A6F"/>
    <w:rsid w:val="00161148"/>
    <w:rsid w:val="00162D04"/>
    <w:rsid w:val="001751BA"/>
    <w:rsid w:val="0017551E"/>
    <w:rsid w:val="00175FAA"/>
    <w:rsid w:val="00176356"/>
    <w:rsid w:val="00180C82"/>
    <w:rsid w:val="00182B43"/>
    <w:rsid w:val="0018326D"/>
    <w:rsid w:val="00183425"/>
    <w:rsid w:val="00195470"/>
    <w:rsid w:val="0019649A"/>
    <w:rsid w:val="001B1ED1"/>
    <w:rsid w:val="001B4D38"/>
    <w:rsid w:val="001B55B3"/>
    <w:rsid w:val="001B5747"/>
    <w:rsid w:val="001C360F"/>
    <w:rsid w:val="001C3A7D"/>
    <w:rsid w:val="001C4712"/>
    <w:rsid w:val="001D0842"/>
    <w:rsid w:val="001D100C"/>
    <w:rsid w:val="001D4C50"/>
    <w:rsid w:val="001D7311"/>
    <w:rsid w:val="001E748C"/>
    <w:rsid w:val="001F2ADF"/>
    <w:rsid w:val="0020421F"/>
    <w:rsid w:val="002107B5"/>
    <w:rsid w:val="002109AF"/>
    <w:rsid w:val="00220F8D"/>
    <w:rsid w:val="00223A14"/>
    <w:rsid w:val="00223B68"/>
    <w:rsid w:val="00225C2F"/>
    <w:rsid w:val="00226AB1"/>
    <w:rsid w:val="00230E0F"/>
    <w:rsid w:val="0023616E"/>
    <w:rsid w:val="002375C9"/>
    <w:rsid w:val="00250C9A"/>
    <w:rsid w:val="002521D6"/>
    <w:rsid w:val="00253A29"/>
    <w:rsid w:val="00255E9A"/>
    <w:rsid w:val="00257665"/>
    <w:rsid w:val="002636FF"/>
    <w:rsid w:val="002652D2"/>
    <w:rsid w:val="002657A5"/>
    <w:rsid w:val="00265BE4"/>
    <w:rsid w:val="0027052F"/>
    <w:rsid w:val="00270F29"/>
    <w:rsid w:val="00272936"/>
    <w:rsid w:val="00273233"/>
    <w:rsid w:val="00274DF3"/>
    <w:rsid w:val="0028328F"/>
    <w:rsid w:val="00283D41"/>
    <w:rsid w:val="00284DAF"/>
    <w:rsid w:val="00284F38"/>
    <w:rsid w:val="00286998"/>
    <w:rsid w:val="002A1B56"/>
    <w:rsid w:val="002A575E"/>
    <w:rsid w:val="002A57C8"/>
    <w:rsid w:val="002A7C08"/>
    <w:rsid w:val="002C1751"/>
    <w:rsid w:val="002C2332"/>
    <w:rsid w:val="002C2B0C"/>
    <w:rsid w:val="002C2CCD"/>
    <w:rsid w:val="002C6763"/>
    <w:rsid w:val="002D4FEB"/>
    <w:rsid w:val="002D6A6E"/>
    <w:rsid w:val="002E0D51"/>
    <w:rsid w:val="002F1DAF"/>
    <w:rsid w:val="002F2188"/>
    <w:rsid w:val="002F351A"/>
    <w:rsid w:val="002F46E7"/>
    <w:rsid w:val="002F47AF"/>
    <w:rsid w:val="002F536E"/>
    <w:rsid w:val="002F7EAC"/>
    <w:rsid w:val="003101EC"/>
    <w:rsid w:val="003136E6"/>
    <w:rsid w:val="00313BFD"/>
    <w:rsid w:val="00314543"/>
    <w:rsid w:val="00316286"/>
    <w:rsid w:val="0032118D"/>
    <w:rsid w:val="00322BA8"/>
    <w:rsid w:val="0033527E"/>
    <w:rsid w:val="00335B93"/>
    <w:rsid w:val="003424CE"/>
    <w:rsid w:val="00342DA3"/>
    <w:rsid w:val="003515E6"/>
    <w:rsid w:val="0035178B"/>
    <w:rsid w:val="00354479"/>
    <w:rsid w:val="00357100"/>
    <w:rsid w:val="003579CA"/>
    <w:rsid w:val="0036060B"/>
    <w:rsid w:val="0036224B"/>
    <w:rsid w:val="00363250"/>
    <w:rsid w:val="003675EB"/>
    <w:rsid w:val="00373998"/>
    <w:rsid w:val="003740EC"/>
    <w:rsid w:val="00375695"/>
    <w:rsid w:val="003757B8"/>
    <w:rsid w:val="00375BE5"/>
    <w:rsid w:val="003760CD"/>
    <w:rsid w:val="0037764F"/>
    <w:rsid w:val="00381249"/>
    <w:rsid w:val="00383AC7"/>
    <w:rsid w:val="0038596E"/>
    <w:rsid w:val="0039761C"/>
    <w:rsid w:val="00397B31"/>
    <w:rsid w:val="003A1E74"/>
    <w:rsid w:val="003A2E24"/>
    <w:rsid w:val="003A4CAD"/>
    <w:rsid w:val="003A57CD"/>
    <w:rsid w:val="003B1CE7"/>
    <w:rsid w:val="003B326D"/>
    <w:rsid w:val="003B3614"/>
    <w:rsid w:val="003B46D4"/>
    <w:rsid w:val="003C34A6"/>
    <w:rsid w:val="003C34CE"/>
    <w:rsid w:val="003E1172"/>
    <w:rsid w:val="003E1352"/>
    <w:rsid w:val="003E4F07"/>
    <w:rsid w:val="003E749E"/>
    <w:rsid w:val="003E7A47"/>
    <w:rsid w:val="003F10F9"/>
    <w:rsid w:val="003F3B48"/>
    <w:rsid w:val="003F534D"/>
    <w:rsid w:val="003F766C"/>
    <w:rsid w:val="00406263"/>
    <w:rsid w:val="00410B84"/>
    <w:rsid w:val="00410DD7"/>
    <w:rsid w:val="00414165"/>
    <w:rsid w:val="0041682D"/>
    <w:rsid w:val="00421289"/>
    <w:rsid w:val="004223C4"/>
    <w:rsid w:val="00423380"/>
    <w:rsid w:val="0043190D"/>
    <w:rsid w:val="00441F3C"/>
    <w:rsid w:val="0044430E"/>
    <w:rsid w:val="00451F76"/>
    <w:rsid w:val="00462E37"/>
    <w:rsid w:val="004649FA"/>
    <w:rsid w:val="0046524C"/>
    <w:rsid w:val="0047310A"/>
    <w:rsid w:val="00474655"/>
    <w:rsid w:val="00480DB8"/>
    <w:rsid w:val="00482456"/>
    <w:rsid w:val="0048473D"/>
    <w:rsid w:val="00485EDE"/>
    <w:rsid w:val="004873EC"/>
    <w:rsid w:val="004875C7"/>
    <w:rsid w:val="004906A6"/>
    <w:rsid w:val="004906BF"/>
    <w:rsid w:val="00491819"/>
    <w:rsid w:val="00497ABD"/>
    <w:rsid w:val="004A1576"/>
    <w:rsid w:val="004B021B"/>
    <w:rsid w:val="004B0356"/>
    <w:rsid w:val="004B0DAF"/>
    <w:rsid w:val="004B70BD"/>
    <w:rsid w:val="004B70DB"/>
    <w:rsid w:val="004C1346"/>
    <w:rsid w:val="004C198C"/>
    <w:rsid w:val="004C238F"/>
    <w:rsid w:val="004C66AE"/>
    <w:rsid w:val="004D1BE6"/>
    <w:rsid w:val="004D1DFC"/>
    <w:rsid w:val="004D3890"/>
    <w:rsid w:val="004E2CDE"/>
    <w:rsid w:val="004F0C68"/>
    <w:rsid w:val="004F4AC3"/>
    <w:rsid w:val="005008EE"/>
    <w:rsid w:val="00501420"/>
    <w:rsid w:val="00512B1E"/>
    <w:rsid w:val="005168DC"/>
    <w:rsid w:val="00522F9D"/>
    <w:rsid w:val="00522FD3"/>
    <w:rsid w:val="00523630"/>
    <w:rsid w:val="00527BF2"/>
    <w:rsid w:val="00532EA7"/>
    <w:rsid w:val="0053612B"/>
    <w:rsid w:val="00543C82"/>
    <w:rsid w:val="0055420F"/>
    <w:rsid w:val="005576DD"/>
    <w:rsid w:val="00561AD4"/>
    <w:rsid w:val="00563616"/>
    <w:rsid w:val="00564874"/>
    <w:rsid w:val="0056625B"/>
    <w:rsid w:val="00567C7D"/>
    <w:rsid w:val="0057151C"/>
    <w:rsid w:val="0057155D"/>
    <w:rsid w:val="00574CE0"/>
    <w:rsid w:val="0057699B"/>
    <w:rsid w:val="005807DE"/>
    <w:rsid w:val="00580BD9"/>
    <w:rsid w:val="00590D16"/>
    <w:rsid w:val="0059394A"/>
    <w:rsid w:val="00594F3B"/>
    <w:rsid w:val="0059536B"/>
    <w:rsid w:val="0059636C"/>
    <w:rsid w:val="005972EB"/>
    <w:rsid w:val="005A2C29"/>
    <w:rsid w:val="005A65E1"/>
    <w:rsid w:val="005B4416"/>
    <w:rsid w:val="005B53E8"/>
    <w:rsid w:val="005C242B"/>
    <w:rsid w:val="005C3C26"/>
    <w:rsid w:val="005C5880"/>
    <w:rsid w:val="005C653B"/>
    <w:rsid w:val="005D3251"/>
    <w:rsid w:val="005E1108"/>
    <w:rsid w:val="005E1D63"/>
    <w:rsid w:val="005E322F"/>
    <w:rsid w:val="005E3726"/>
    <w:rsid w:val="005E639B"/>
    <w:rsid w:val="005F1846"/>
    <w:rsid w:val="005F23FC"/>
    <w:rsid w:val="005F2B6B"/>
    <w:rsid w:val="005F3812"/>
    <w:rsid w:val="005F46D0"/>
    <w:rsid w:val="005F6205"/>
    <w:rsid w:val="00605ED4"/>
    <w:rsid w:val="00611DC4"/>
    <w:rsid w:val="00616436"/>
    <w:rsid w:val="00616643"/>
    <w:rsid w:val="00627EC6"/>
    <w:rsid w:val="00630985"/>
    <w:rsid w:val="006351B9"/>
    <w:rsid w:val="00635F23"/>
    <w:rsid w:val="00636A32"/>
    <w:rsid w:val="00636CF4"/>
    <w:rsid w:val="00640F4D"/>
    <w:rsid w:val="00644314"/>
    <w:rsid w:val="006459A6"/>
    <w:rsid w:val="00645C92"/>
    <w:rsid w:val="0065044E"/>
    <w:rsid w:val="006539DB"/>
    <w:rsid w:val="00655D1F"/>
    <w:rsid w:val="00655DC4"/>
    <w:rsid w:val="006569BE"/>
    <w:rsid w:val="006650FF"/>
    <w:rsid w:val="00665207"/>
    <w:rsid w:val="00666050"/>
    <w:rsid w:val="0066636A"/>
    <w:rsid w:val="00666730"/>
    <w:rsid w:val="0067285E"/>
    <w:rsid w:val="0067413E"/>
    <w:rsid w:val="00675F19"/>
    <w:rsid w:val="006766D6"/>
    <w:rsid w:val="00677334"/>
    <w:rsid w:val="006777BB"/>
    <w:rsid w:val="00686348"/>
    <w:rsid w:val="00686B50"/>
    <w:rsid w:val="00690B36"/>
    <w:rsid w:val="00690EE5"/>
    <w:rsid w:val="006955F7"/>
    <w:rsid w:val="006A2346"/>
    <w:rsid w:val="006A268B"/>
    <w:rsid w:val="006A55BD"/>
    <w:rsid w:val="006A636C"/>
    <w:rsid w:val="006B5178"/>
    <w:rsid w:val="006C0D9C"/>
    <w:rsid w:val="006D07ED"/>
    <w:rsid w:val="006D1F4C"/>
    <w:rsid w:val="006D3ABE"/>
    <w:rsid w:val="006D59B1"/>
    <w:rsid w:val="006D6EC8"/>
    <w:rsid w:val="006E29D3"/>
    <w:rsid w:val="006F5637"/>
    <w:rsid w:val="007003F2"/>
    <w:rsid w:val="00702372"/>
    <w:rsid w:val="0070288B"/>
    <w:rsid w:val="007032BC"/>
    <w:rsid w:val="00705190"/>
    <w:rsid w:val="00705C28"/>
    <w:rsid w:val="00707496"/>
    <w:rsid w:val="00707D93"/>
    <w:rsid w:val="0071328F"/>
    <w:rsid w:val="00715099"/>
    <w:rsid w:val="00720365"/>
    <w:rsid w:val="00725F8C"/>
    <w:rsid w:val="007263E3"/>
    <w:rsid w:val="00726CB3"/>
    <w:rsid w:val="0073121B"/>
    <w:rsid w:val="007315D4"/>
    <w:rsid w:val="007516E3"/>
    <w:rsid w:val="00753EFD"/>
    <w:rsid w:val="0075565E"/>
    <w:rsid w:val="00760C1D"/>
    <w:rsid w:val="00760D1D"/>
    <w:rsid w:val="00762351"/>
    <w:rsid w:val="007707FD"/>
    <w:rsid w:val="00771943"/>
    <w:rsid w:val="00773CFF"/>
    <w:rsid w:val="00774561"/>
    <w:rsid w:val="00775B1C"/>
    <w:rsid w:val="00776C27"/>
    <w:rsid w:val="00785EDB"/>
    <w:rsid w:val="007871AD"/>
    <w:rsid w:val="0079545C"/>
    <w:rsid w:val="007A2CD5"/>
    <w:rsid w:val="007A488B"/>
    <w:rsid w:val="007B0331"/>
    <w:rsid w:val="007B194A"/>
    <w:rsid w:val="007B23A5"/>
    <w:rsid w:val="007B2509"/>
    <w:rsid w:val="007B3DD4"/>
    <w:rsid w:val="007B55A9"/>
    <w:rsid w:val="007B6BCE"/>
    <w:rsid w:val="007C0312"/>
    <w:rsid w:val="007C12E1"/>
    <w:rsid w:val="007C29B8"/>
    <w:rsid w:val="007D03F5"/>
    <w:rsid w:val="007D3D90"/>
    <w:rsid w:val="007D53C1"/>
    <w:rsid w:val="007D6469"/>
    <w:rsid w:val="007E303A"/>
    <w:rsid w:val="007E3BB9"/>
    <w:rsid w:val="007E62FE"/>
    <w:rsid w:val="007E6530"/>
    <w:rsid w:val="007E6ACB"/>
    <w:rsid w:val="007E7B57"/>
    <w:rsid w:val="007F10AF"/>
    <w:rsid w:val="007F465F"/>
    <w:rsid w:val="007F754B"/>
    <w:rsid w:val="00800C05"/>
    <w:rsid w:val="0080161B"/>
    <w:rsid w:val="00805112"/>
    <w:rsid w:val="008071D7"/>
    <w:rsid w:val="0081025E"/>
    <w:rsid w:val="00810388"/>
    <w:rsid w:val="00810812"/>
    <w:rsid w:val="00815E46"/>
    <w:rsid w:val="00825F54"/>
    <w:rsid w:val="00827A34"/>
    <w:rsid w:val="008318AB"/>
    <w:rsid w:val="008366EA"/>
    <w:rsid w:val="00836865"/>
    <w:rsid w:val="008403C8"/>
    <w:rsid w:val="0084278D"/>
    <w:rsid w:val="00844069"/>
    <w:rsid w:val="0084493F"/>
    <w:rsid w:val="00845234"/>
    <w:rsid w:val="00845617"/>
    <w:rsid w:val="00851585"/>
    <w:rsid w:val="0085254F"/>
    <w:rsid w:val="0085704E"/>
    <w:rsid w:val="0086364E"/>
    <w:rsid w:val="00870A76"/>
    <w:rsid w:val="00876F57"/>
    <w:rsid w:val="00880A45"/>
    <w:rsid w:val="00890530"/>
    <w:rsid w:val="00892EC1"/>
    <w:rsid w:val="008A09C8"/>
    <w:rsid w:val="008A1AF2"/>
    <w:rsid w:val="008A6723"/>
    <w:rsid w:val="008B17C9"/>
    <w:rsid w:val="008B6773"/>
    <w:rsid w:val="008C428C"/>
    <w:rsid w:val="008C5A7D"/>
    <w:rsid w:val="008C6B5A"/>
    <w:rsid w:val="008D007B"/>
    <w:rsid w:val="008D0597"/>
    <w:rsid w:val="008D1DD8"/>
    <w:rsid w:val="008D480A"/>
    <w:rsid w:val="008D4938"/>
    <w:rsid w:val="008D752F"/>
    <w:rsid w:val="008D76BE"/>
    <w:rsid w:val="008D79CC"/>
    <w:rsid w:val="008E0FC9"/>
    <w:rsid w:val="008E1E98"/>
    <w:rsid w:val="008E208D"/>
    <w:rsid w:val="008E23A0"/>
    <w:rsid w:val="008E3960"/>
    <w:rsid w:val="008E7E74"/>
    <w:rsid w:val="008F577F"/>
    <w:rsid w:val="0090226D"/>
    <w:rsid w:val="00902936"/>
    <w:rsid w:val="00904416"/>
    <w:rsid w:val="00905424"/>
    <w:rsid w:val="00905509"/>
    <w:rsid w:val="00911D65"/>
    <w:rsid w:val="009120C3"/>
    <w:rsid w:val="00912F70"/>
    <w:rsid w:val="00913D90"/>
    <w:rsid w:val="00917B25"/>
    <w:rsid w:val="00924592"/>
    <w:rsid w:val="00940EAF"/>
    <w:rsid w:val="00941256"/>
    <w:rsid w:val="00941CDC"/>
    <w:rsid w:val="00946750"/>
    <w:rsid w:val="0094692E"/>
    <w:rsid w:val="009519B3"/>
    <w:rsid w:val="00953907"/>
    <w:rsid w:val="00955CB7"/>
    <w:rsid w:val="00956120"/>
    <w:rsid w:val="009732EA"/>
    <w:rsid w:val="00977F61"/>
    <w:rsid w:val="00981A25"/>
    <w:rsid w:val="00982C48"/>
    <w:rsid w:val="00987F80"/>
    <w:rsid w:val="009940D4"/>
    <w:rsid w:val="0099728C"/>
    <w:rsid w:val="009A1852"/>
    <w:rsid w:val="009A38D7"/>
    <w:rsid w:val="009A4C00"/>
    <w:rsid w:val="009A73B5"/>
    <w:rsid w:val="009A7FD5"/>
    <w:rsid w:val="009B4EC9"/>
    <w:rsid w:val="009C0B30"/>
    <w:rsid w:val="009C432F"/>
    <w:rsid w:val="009D1012"/>
    <w:rsid w:val="009D40BB"/>
    <w:rsid w:val="009D6174"/>
    <w:rsid w:val="009D7662"/>
    <w:rsid w:val="009D7768"/>
    <w:rsid w:val="009E241D"/>
    <w:rsid w:val="009E4A19"/>
    <w:rsid w:val="009E5411"/>
    <w:rsid w:val="009E6933"/>
    <w:rsid w:val="009F33CE"/>
    <w:rsid w:val="009F5B60"/>
    <w:rsid w:val="009F76CC"/>
    <w:rsid w:val="00A003BF"/>
    <w:rsid w:val="00A06E2E"/>
    <w:rsid w:val="00A06FAF"/>
    <w:rsid w:val="00A072D1"/>
    <w:rsid w:val="00A073EF"/>
    <w:rsid w:val="00A108E3"/>
    <w:rsid w:val="00A13306"/>
    <w:rsid w:val="00A2387D"/>
    <w:rsid w:val="00A30935"/>
    <w:rsid w:val="00A35053"/>
    <w:rsid w:val="00A36C96"/>
    <w:rsid w:val="00A40516"/>
    <w:rsid w:val="00A430DC"/>
    <w:rsid w:val="00A43919"/>
    <w:rsid w:val="00A4593E"/>
    <w:rsid w:val="00A46980"/>
    <w:rsid w:val="00A46BE7"/>
    <w:rsid w:val="00A506D4"/>
    <w:rsid w:val="00A50A80"/>
    <w:rsid w:val="00A51485"/>
    <w:rsid w:val="00A62115"/>
    <w:rsid w:val="00A62781"/>
    <w:rsid w:val="00A66992"/>
    <w:rsid w:val="00A701CC"/>
    <w:rsid w:val="00A70648"/>
    <w:rsid w:val="00A72BA9"/>
    <w:rsid w:val="00A77750"/>
    <w:rsid w:val="00A80322"/>
    <w:rsid w:val="00A8318C"/>
    <w:rsid w:val="00A848A8"/>
    <w:rsid w:val="00A84BB3"/>
    <w:rsid w:val="00A85820"/>
    <w:rsid w:val="00A875CB"/>
    <w:rsid w:val="00A91A9D"/>
    <w:rsid w:val="00A93D91"/>
    <w:rsid w:val="00A9714E"/>
    <w:rsid w:val="00A97E05"/>
    <w:rsid w:val="00AA2712"/>
    <w:rsid w:val="00AA3BE0"/>
    <w:rsid w:val="00AA4068"/>
    <w:rsid w:val="00AA7A97"/>
    <w:rsid w:val="00AB3DD6"/>
    <w:rsid w:val="00AB5978"/>
    <w:rsid w:val="00AC24BC"/>
    <w:rsid w:val="00AC3C6C"/>
    <w:rsid w:val="00AD4341"/>
    <w:rsid w:val="00AD6684"/>
    <w:rsid w:val="00AE2F5F"/>
    <w:rsid w:val="00AE3443"/>
    <w:rsid w:val="00AE3E10"/>
    <w:rsid w:val="00AE556F"/>
    <w:rsid w:val="00AF4D9E"/>
    <w:rsid w:val="00AF54FF"/>
    <w:rsid w:val="00B01996"/>
    <w:rsid w:val="00B0471B"/>
    <w:rsid w:val="00B04FAC"/>
    <w:rsid w:val="00B12B2B"/>
    <w:rsid w:val="00B16E31"/>
    <w:rsid w:val="00B25FC6"/>
    <w:rsid w:val="00B2613C"/>
    <w:rsid w:val="00B31C48"/>
    <w:rsid w:val="00B40C67"/>
    <w:rsid w:val="00B41C43"/>
    <w:rsid w:val="00B420B1"/>
    <w:rsid w:val="00B420EA"/>
    <w:rsid w:val="00B42FE2"/>
    <w:rsid w:val="00B549C5"/>
    <w:rsid w:val="00B55C23"/>
    <w:rsid w:val="00B62283"/>
    <w:rsid w:val="00B727E7"/>
    <w:rsid w:val="00B75CA4"/>
    <w:rsid w:val="00B86848"/>
    <w:rsid w:val="00B8758D"/>
    <w:rsid w:val="00B9148E"/>
    <w:rsid w:val="00B92D5C"/>
    <w:rsid w:val="00B93105"/>
    <w:rsid w:val="00B96EA6"/>
    <w:rsid w:val="00BA0441"/>
    <w:rsid w:val="00BA1345"/>
    <w:rsid w:val="00BA1854"/>
    <w:rsid w:val="00BA3DE2"/>
    <w:rsid w:val="00BB7A3D"/>
    <w:rsid w:val="00BC698E"/>
    <w:rsid w:val="00BD0F11"/>
    <w:rsid w:val="00BD0F3D"/>
    <w:rsid w:val="00BD54C5"/>
    <w:rsid w:val="00BE1A43"/>
    <w:rsid w:val="00BE4F2C"/>
    <w:rsid w:val="00BE6CB6"/>
    <w:rsid w:val="00BF0980"/>
    <w:rsid w:val="00BF1050"/>
    <w:rsid w:val="00BF2A34"/>
    <w:rsid w:val="00C1370A"/>
    <w:rsid w:val="00C23451"/>
    <w:rsid w:val="00C25CEB"/>
    <w:rsid w:val="00C27891"/>
    <w:rsid w:val="00C303FA"/>
    <w:rsid w:val="00C30D26"/>
    <w:rsid w:val="00C34F3C"/>
    <w:rsid w:val="00C366E3"/>
    <w:rsid w:val="00C4232F"/>
    <w:rsid w:val="00C55FAC"/>
    <w:rsid w:val="00C61223"/>
    <w:rsid w:val="00C62CB0"/>
    <w:rsid w:val="00C667E7"/>
    <w:rsid w:val="00C70636"/>
    <w:rsid w:val="00C739E3"/>
    <w:rsid w:val="00C7539E"/>
    <w:rsid w:val="00C754F9"/>
    <w:rsid w:val="00C764B6"/>
    <w:rsid w:val="00C774F1"/>
    <w:rsid w:val="00C80C73"/>
    <w:rsid w:val="00C82C43"/>
    <w:rsid w:val="00C85362"/>
    <w:rsid w:val="00C85B57"/>
    <w:rsid w:val="00C86B78"/>
    <w:rsid w:val="00C941E3"/>
    <w:rsid w:val="00C94BE7"/>
    <w:rsid w:val="00CA43B2"/>
    <w:rsid w:val="00CA6CCD"/>
    <w:rsid w:val="00CB0775"/>
    <w:rsid w:val="00CB3BA4"/>
    <w:rsid w:val="00CC1A44"/>
    <w:rsid w:val="00CC46F5"/>
    <w:rsid w:val="00CD1AF2"/>
    <w:rsid w:val="00CD42D3"/>
    <w:rsid w:val="00CD437D"/>
    <w:rsid w:val="00CD4500"/>
    <w:rsid w:val="00CE0C55"/>
    <w:rsid w:val="00CE3E7F"/>
    <w:rsid w:val="00CE6B27"/>
    <w:rsid w:val="00CF16D1"/>
    <w:rsid w:val="00CF1D3E"/>
    <w:rsid w:val="00CF3D96"/>
    <w:rsid w:val="00CF5893"/>
    <w:rsid w:val="00D001DD"/>
    <w:rsid w:val="00D00BAF"/>
    <w:rsid w:val="00D01A8A"/>
    <w:rsid w:val="00D0389E"/>
    <w:rsid w:val="00D06B31"/>
    <w:rsid w:val="00D12BC4"/>
    <w:rsid w:val="00D15197"/>
    <w:rsid w:val="00D2041F"/>
    <w:rsid w:val="00D215E5"/>
    <w:rsid w:val="00D21ED2"/>
    <w:rsid w:val="00D23F11"/>
    <w:rsid w:val="00D246D6"/>
    <w:rsid w:val="00D26178"/>
    <w:rsid w:val="00D33298"/>
    <w:rsid w:val="00D34886"/>
    <w:rsid w:val="00D34B59"/>
    <w:rsid w:val="00D40F83"/>
    <w:rsid w:val="00D41422"/>
    <w:rsid w:val="00D4194B"/>
    <w:rsid w:val="00D455B3"/>
    <w:rsid w:val="00D479F5"/>
    <w:rsid w:val="00D47A91"/>
    <w:rsid w:val="00D5124E"/>
    <w:rsid w:val="00D54BB0"/>
    <w:rsid w:val="00D60269"/>
    <w:rsid w:val="00D6298E"/>
    <w:rsid w:val="00D629EA"/>
    <w:rsid w:val="00D72516"/>
    <w:rsid w:val="00D72F8B"/>
    <w:rsid w:val="00D74B3B"/>
    <w:rsid w:val="00D804DF"/>
    <w:rsid w:val="00D94430"/>
    <w:rsid w:val="00D94FFC"/>
    <w:rsid w:val="00DA268B"/>
    <w:rsid w:val="00DA4138"/>
    <w:rsid w:val="00DA487D"/>
    <w:rsid w:val="00DA7D6D"/>
    <w:rsid w:val="00DA7FB0"/>
    <w:rsid w:val="00DB16CD"/>
    <w:rsid w:val="00DB638E"/>
    <w:rsid w:val="00DB74EA"/>
    <w:rsid w:val="00DB7A25"/>
    <w:rsid w:val="00DC1462"/>
    <w:rsid w:val="00DC6673"/>
    <w:rsid w:val="00DC6B63"/>
    <w:rsid w:val="00DC7B09"/>
    <w:rsid w:val="00DD1523"/>
    <w:rsid w:val="00DD15F6"/>
    <w:rsid w:val="00DD5D07"/>
    <w:rsid w:val="00DE0D59"/>
    <w:rsid w:val="00DE3DCB"/>
    <w:rsid w:val="00DE6050"/>
    <w:rsid w:val="00DE62BD"/>
    <w:rsid w:val="00DF5C80"/>
    <w:rsid w:val="00DF6D2C"/>
    <w:rsid w:val="00E114A7"/>
    <w:rsid w:val="00E13487"/>
    <w:rsid w:val="00E20C17"/>
    <w:rsid w:val="00E24E6A"/>
    <w:rsid w:val="00E41477"/>
    <w:rsid w:val="00E41BE9"/>
    <w:rsid w:val="00E41FA8"/>
    <w:rsid w:val="00E4384B"/>
    <w:rsid w:val="00E44EBD"/>
    <w:rsid w:val="00E46910"/>
    <w:rsid w:val="00E537DB"/>
    <w:rsid w:val="00E632AC"/>
    <w:rsid w:val="00E63784"/>
    <w:rsid w:val="00E67109"/>
    <w:rsid w:val="00E72832"/>
    <w:rsid w:val="00E773CA"/>
    <w:rsid w:val="00E8049C"/>
    <w:rsid w:val="00E806B8"/>
    <w:rsid w:val="00E927E6"/>
    <w:rsid w:val="00E976D7"/>
    <w:rsid w:val="00EA5A2A"/>
    <w:rsid w:val="00EB6C23"/>
    <w:rsid w:val="00EC5E1A"/>
    <w:rsid w:val="00EC653C"/>
    <w:rsid w:val="00EC7AA4"/>
    <w:rsid w:val="00ED1D5A"/>
    <w:rsid w:val="00ED2531"/>
    <w:rsid w:val="00ED2A53"/>
    <w:rsid w:val="00ED6177"/>
    <w:rsid w:val="00EE4892"/>
    <w:rsid w:val="00EE48D3"/>
    <w:rsid w:val="00EE5610"/>
    <w:rsid w:val="00EE6F2F"/>
    <w:rsid w:val="00EF0EEA"/>
    <w:rsid w:val="00EF14B5"/>
    <w:rsid w:val="00EF2CAE"/>
    <w:rsid w:val="00EF7646"/>
    <w:rsid w:val="00F05283"/>
    <w:rsid w:val="00F0667C"/>
    <w:rsid w:val="00F06EE5"/>
    <w:rsid w:val="00F11A6E"/>
    <w:rsid w:val="00F136AF"/>
    <w:rsid w:val="00F16F6A"/>
    <w:rsid w:val="00F17366"/>
    <w:rsid w:val="00F17C95"/>
    <w:rsid w:val="00F2299D"/>
    <w:rsid w:val="00F235E7"/>
    <w:rsid w:val="00F241D4"/>
    <w:rsid w:val="00F268A1"/>
    <w:rsid w:val="00F27293"/>
    <w:rsid w:val="00F276A6"/>
    <w:rsid w:val="00F352ED"/>
    <w:rsid w:val="00F3545F"/>
    <w:rsid w:val="00F371C7"/>
    <w:rsid w:val="00F37552"/>
    <w:rsid w:val="00F43B09"/>
    <w:rsid w:val="00F44394"/>
    <w:rsid w:val="00F51E37"/>
    <w:rsid w:val="00F52B50"/>
    <w:rsid w:val="00F55BF4"/>
    <w:rsid w:val="00F63804"/>
    <w:rsid w:val="00F674B2"/>
    <w:rsid w:val="00F7297D"/>
    <w:rsid w:val="00F758EB"/>
    <w:rsid w:val="00F90FB8"/>
    <w:rsid w:val="00F90FD3"/>
    <w:rsid w:val="00F92BE4"/>
    <w:rsid w:val="00F9582B"/>
    <w:rsid w:val="00F970BD"/>
    <w:rsid w:val="00F970FA"/>
    <w:rsid w:val="00F97E87"/>
    <w:rsid w:val="00FA1A3C"/>
    <w:rsid w:val="00FA1FE3"/>
    <w:rsid w:val="00FA22D3"/>
    <w:rsid w:val="00FA758F"/>
    <w:rsid w:val="00FB491A"/>
    <w:rsid w:val="00FB731A"/>
    <w:rsid w:val="00FC4CA6"/>
    <w:rsid w:val="00FD1E7F"/>
    <w:rsid w:val="00FD5E0E"/>
    <w:rsid w:val="00FE009A"/>
    <w:rsid w:val="00FE3FF7"/>
    <w:rsid w:val="00FE4938"/>
    <w:rsid w:val="00FE78F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tabs>
        <w:tab w:val="left" w:pos="-2160"/>
        <w:tab w:val="left" w:pos="-1980"/>
      </w:tabs>
      <w:ind w:left="705"/>
      <w:jc w:val="both"/>
      <w:outlineLvl w:val="0"/>
    </w:pPr>
    <w:rPr>
      <w:snapToGrid w:val="0"/>
      <w:sz w:val="24"/>
      <w:lang w:val="es-ES_tradnl"/>
    </w:rPr>
  </w:style>
  <w:style w:type="paragraph" w:styleId="Ttulo2">
    <w:name w:val="heading 2"/>
    <w:basedOn w:val="Normal"/>
    <w:next w:val="Normal"/>
    <w:qFormat/>
    <w:pPr>
      <w:keepNext/>
      <w:ind w:left="1410"/>
      <w:jc w:val="both"/>
      <w:outlineLvl w:val="1"/>
    </w:pPr>
    <w:rPr>
      <w:sz w:val="24"/>
    </w:rPr>
  </w:style>
  <w:style w:type="paragraph" w:styleId="Ttulo3">
    <w:name w:val="heading 3"/>
    <w:basedOn w:val="Normal"/>
    <w:next w:val="Normal"/>
    <w:qFormat/>
    <w:pPr>
      <w:keepNext/>
      <w:numPr>
        <w:numId w:val="1"/>
      </w:numPr>
      <w:jc w:val="both"/>
      <w:outlineLvl w:val="2"/>
    </w:pPr>
    <w:rPr>
      <w:sz w:val="24"/>
    </w:rPr>
  </w:style>
  <w:style w:type="paragraph" w:styleId="Ttulo4">
    <w:name w:val="heading 4"/>
    <w:basedOn w:val="Normal"/>
    <w:next w:val="Normal"/>
    <w:link w:val="Ttulo4Car"/>
    <w:qFormat/>
    <w:pPr>
      <w:keepNext/>
      <w:jc w:val="both"/>
      <w:outlineLvl w:val="3"/>
    </w:pPr>
    <w:rPr>
      <w:sz w:val="24"/>
    </w:rPr>
  </w:style>
  <w:style w:type="paragraph" w:styleId="Ttulo5">
    <w:name w:val="heading 5"/>
    <w:basedOn w:val="Normal"/>
    <w:next w:val="Normal"/>
    <w:qFormat/>
    <w:pPr>
      <w:keepNext/>
      <w:outlineLvl w:val="4"/>
    </w:pPr>
    <w:rPr>
      <w:sz w:val="24"/>
    </w:rPr>
  </w:style>
  <w:style w:type="paragraph" w:styleId="Ttulo6">
    <w:name w:val="heading 6"/>
    <w:basedOn w:val="Normal"/>
    <w:next w:val="Normal"/>
    <w:qFormat/>
    <w:pPr>
      <w:keepNext/>
      <w:ind w:left="705"/>
      <w:jc w:val="center"/>
      <w:outlineLvl w:val="5"/>
    </w:pPr>
    <w:rPr>
      <w:b/>
      <w:sz w:val="24"/>
    </w:rPr>
  </w:style>
  <w:style w:type="paragraph" w:styleId="Ttulo7">
    <w:name w:val="heading 7"/>
    <w:basedOn w:val="Normal"/>
    <w:next w:val="Normal"/>
    <w:link w:val="Ttulo7Car"/>
    <w:qFormat/>
    <w:pPr>
      <w:keepNext/>
      <w:jc w:val="both"/>
      <w:outlineLvl w:val="6"/>
    </w:pPr>
    <w:rPr>
      <w:b/>
      <w:sz w:val="24"/>
    </w:rPr>
  </w:style>
  <w:style w:type="paragraph" w:styleId="Ttulo8">
    <w:name w:val="heading 8"/>
    <w:basedOn w:val="Normal"/>
    <w:next w:val="Normal"/>
    <w:link w:val="Ttulo8Car"/>
    <w:qFormat/>
    <w:pPr>
      <w:keepNext/>
      <w:jc w:val="center"/>
      <w:outlineLvl w:val="7"/>
    </w:pPr>
    <w:rPr>
      <w:b/>
    </w:rPr>
  </w:style>
  <w:style w:type="paragraph" w:styleId="Ttulo9">
    <w:name w:val="heading 9"/>
    <w:basedOn w:val="Normal"/>
    <w:next w:val="Normal"/>
    <w:qFormat/>
    <w:pPr>
      <w:keepNext/>
      <w:jc w:val="center"/>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widowControl w:val="0"/>
      <w:tabs>
        <w:tab w:val="left" w:pos="720"/>
        <w:tab w:val="left" w:pos="1296"/>
        <w:tab w:val="left" w:pos="2016"/>
      </w:tabs>
      <w:jc w:val="center"/>
    </w:pPr>
    <w:rPr>
      <w:rFonts w:ascii="Arial" w:hAnsi="Arial"/>
      <w:b/>
      <w:snapToGrid w:val="0"/>
      <w:sz w:val="24"/>
      <w:lang w:val="es-ES_tradnl"/>
    </w:rPr>
  </w:style>
  <w:style w:type="paragraph" w:styleId="Sangra2detindependiente">
    <w:name w:val="Body Text Indent 2"/>
    <w:basedOn w:val="Normal"/>
    <w:link w:val="Sangra2detindependienteCar"/>
    <w:pPr>
      <w:tabs>
        <w:tab w:val="left" w:pos="-2160"/>
        <w:tab w:val="left" w:pos="-1980"/>
      </w:tabs>
      <w:ind w:left="705"/>
      <w:jc w:val="both"/>
    </w:pPr>
    <w:rPr>
      <w:snapToGrid w:val="0"/>
      <w:sz w:val="24"/>
      <w:lang w:val="es-ES_tradnl"/>
    </w:rPr>
  </w:style>
  <w:style w:type="paragraph" w:styleId="Sangradetextonormal">
    <w:name w:val="Body Text Indent"/>
    <w:basedOn w:val="Normal"/>
    <w:pPr>
      <w:tabs>
        <w:tab w:val="left" w:pos="-2160"/>
        <w:tab w:val="left" w:pos="-1980"/>
      </w:tabs>
      <w:ind w:left="705"/>
    </w:pPr>
    <w:rPr>
      <w:snapToGrid w:val="0"/>
      <w:sz w:val="24"/>
      <w:lang w:val="es-ES_tradnl"/>
    </w:rPr>
  </w:style>
  <w:style w:type="paragraph" w:styleId="Textoindependiente2">
    <w:name w:val="Body Text 2"/>
    <w:basedOn w:val="Normal"/>
    <w:link w:val="Textoindependiente2Car"/>
    <w:pPr>
      <w:tabs>
        <w:tab w:val="left" w:pos="-2160"/>
        <w:tab w:val="left" w:pos="-1980"/>
      </w:tabs>
      <w:jc w:val="both"/>
    </w:pPr>
    <w:rPr>
      <w:sz w:val="24"/>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link w:val="Textoindependiente3Car"/>
    <w:pPr>
      <w:jc w:val="both"/>
    </w:pPr>
    <w:rPr>
      <w:sz w:val="24"/>
      <w:u w:val="single"/>
    </w:rPr>
  </w:style>
  <w:style w:type="paragraph" w:styleId="Sangra3detindependiente">
    <w:name w:val="Body Text Indent 3"/>
    <w:basedOn w:val="Normal"/>
    <w:pPr>
      <w:ind w:left="708"/>
      <w:jc w:val="both"/>
    </w:pPr>
    <w:rPr>
      <w:sz w:val="24"/>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Textodebloque">
    <w:name w:val="Block Text"/>
    <w:basedOn w:val="Normal"/>
    <w:pPr>
      <w:widowControl w:val="0"/>
      <w:ind w:left="360" w:right="-160"/>
      <w:jc w:val="both"/>
    </w:pPr>
    <w:rPr>
      <w:snapToGrid w:val="0"/>
      <w:sz w:val="24"/>
      <w:lang w:val="es-ES_tradnl"/>
    </w:rPr>
  </w:style>
  <w:style w:type="paragraph" w:styleId="Epgrafe">
    <w:name w:val="caption"/>
    <w:basedOn w:val="Normal"/>
    <w:next w:val="Normal"/>
    <w:qFormat/>
    <w:pPr>
      <w:tabs>
        <w:tab w:val="left" w:pos="993"/>
      </w:tabs>
      <w:ind w:hanging="142"/>
      <w:jc w:val="both"/>
    </w:pPr>
    <w:rPr>
      <w:rFonts w:ascii="Arial" w:hAnsi="Arial"/>
      <w:b/>
      <w:sz w:val="24"/>
    </w:rPr>
  </w:style>
  <w:style w:type="character" w:styleId="Hipervnculovisitado">
    <w:name w:val="FollowedHyperlink"/>
    <w:rPr>
      <w:color w:val="800080"/>
      <w:u w:val="single"/>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qFormat/>
    <w:pPr>
      <w:ind w:left="708"/>
    </w:pPr>
  </w:style>
  <w:style w:type="character" w:customStyle="1" w:styleId="TextoindependienteCar">
    <w:name w:val="Texto independiente Car"/>
    <w:semiHidden/>
    <w:rPr>
      <w:rFonts w:ascii="Arial" w:eastAsia="Times New Roman" w:hAnsi="Arial" w:cs="Times New Roman"/>
      <w:b/>
      <w:snapToGrid w:val="0"/>
      <w:sz w:val="24"/>
      <w:szCs w:val="20"/>
      <w:lang w:val="es-ES_tradnl" w:eastAsia="es-ES"/>
    </w:rPr>
  </w:style>
  <w:style w:type="paragraph" w:styleId="Revisin">
    <w:name w:val="Revision"/>
    <w:rPr>
      <w:lang w:val="es-ES" w:eastAsia="es-ES"/>
    </w:rPr>
  </w:style>
  <w:style w:type="paragraph" w:customStyle="1" w:styleId="Prrafodelista1">
    <w:name w:val="Párrafo de lista1"/>
    <w:basedOn w:val="Normal"/>
    <w:pPr>
      <w:ind w:left="708"/>
    </w:pPr>
  </w:style>
  <w:style w:type="paragraph" w:customStyle="1" w:styleId="Default">
    <w:name w:val="Default"/>
    <w:pPr>
      <w:autoSpaceDE w:val="0"/>
      <w:autoSpaceDN w:val="0"/>
      <w:adjustRightInd w:val="0"/>
    </w:pPr>
    <w:rPr>
      <w:rFonts w:ascii="Arial Narrow" w:hAnsi="Arial Narrow"/>
      <w:color w:val="000000"/>
      <w:sz w:val="24"/>
      <w:szCs w:val="24"/>
      <w:lang w:val="es-ES" w:eastAsia="es-ES"/>
    </w:rPr>
  </w:style>
  <w:style w:type="character" w:customStyle="1" w:styleId="Ttulo7Car">
    <w:name w:val="Título 7 Car"/>
    <w:link w:val="Ttulo7"/>
    <w:rsid w:val="00397B31"/>
    <w:rPr>
      <w:b/>
      <w:sz w:val="24"/>
      <w:lang w:val="es-ES" w:eastAsia="es-ES" w:bidi="ar-SA"/>
    </w:rPr>
  </w:style>
  <w:style w:type="character" w:customStyle="1" w:styleId="Ttulo4Car">
    <w:name w:val="Título 4 Car"/>
    <w:link w:val="Ttulo4"/>
    <w:rsid w:val="008C6B5A"/>
    <w:rPr>
      <w:sz w:val="24"/>
      <w:lang w:val="es-ES" w:eastAsia="es-ES"/>
    </w:rPr>
  </w:style>
  <w:style w:type="character" w:customStyle="1" w:styleId="Textoindependiente2Car">
    <w:name w:val="Texto independiente 2 Car"/>
    <w:link w:val="Textoindependiente2"/>
    <w:rsid w:val="008C6B5A"/>
    <w:rPr>
      <w:sz w:val="24"/>
      <w:lang w:val="es-ES" w:eastAsia="es-ES"/>
    </w:rPr>
  </w:style>
  <w:style w:type="character" w:customStyle="1" w:styleId="Textoindependiente3Car">
    <w:name w:val="Texto independiente 3 Car"/>
    <w:basedOn w:val="Fuentedeprrafopredeter"/>
    <w:link w:val="Textoindependiente3"/>
    <w:rsid w:val="00580BD9"/>
    <w:rPr>
      <w:sz w:val="24"/>
      <w:u w:val="single"/>
      <w:lang w:val="es-ES" w:eastAsia="es-ES"/>
    </w:rPr>
  </w:style>
  <w:style w:type="character" w:customStyle="1" w:styleId="Ttulo8Car">
    <w:name w:val="Título 8 Car"/>
    <w:basedOn w:val="Fuentedeprrafopredeter"/>
    <w:link w:val="Ttulo8"/>
    <w:rsid w:val="00175FAA"/>
    <w:rPr>
      <w:b/>
      <w:lang w:val="es-ES" w:eastAsia="es-ES"/>
    </w:rPr>
  </w:style>
  <w:style w:type="character" w:customStyle="1" w:styleId="Sangra2detindependienteCar">
    <w:name w:val="Sangría 2 de t. independiente Car"/>
    <w:basedOn w:val="Fuentedeprrafopredeter"/>
    <w:link w:val="Sangra2detindependiente"/>
    <w:rsid w:val="0057155D"/>
    <w:rPr>
      <w:snapToGrid w:val="0"/>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tabs>
        <w:tab w:val="left" w:pos="-2160"/>
        <w:tab w:val="left" w:pos="-1980"/>
      </w:tabs>
      <w:ind w:left="705"/>
      <w:jc w:val="both"/>
      <w:outlineLvl w:val="0"/>
    </w:pPr>
    <w:rPr>
      <w:snapToGrid w:val="0"/>
      <w:sz w:val="24"/>
      <w:lang w:val="es-ES_tradnl"/>
    </w:rPr>
  </w:style>
  <w:style w:type="paragraph" w:styleId="Ttulo2">
    <w:name w:val="heading 2"/>
    <w:basedOn w:val="Normal"/>
    <w:next w:val="Normal"/>
    <w:qFormat/>
    <w:pPr>
      <w:keepNext/>
      <w:ind w:left="1410"/>
      <w:jc w:val="both"/>
      <w:outlineLvl w:val="1"/>
    </w:pPr>
    <w:rPr>
      <w:sz w:val="24"/>
    </w:rPr>
  </w:style>
  <w:style w:type="paragraph" w:styleId="Ttulo3">
    <w:name w:val="heading 3"/>
    <w:basedOn w:val="Normal"/>
    <w:next w:val="Normal"/>
    <w:qFormat/>
    <w:pPr>
      <w:keepNext/>
      <w:numPr>
        <w:numId w:val="1"/>
      </w:numPr>
      <w:jc w:val="both"/>
      <w:outlineLvl w:val="2"/>
    </w:pPr>
    <w:rPr>
      <w:sz w:val="24"/>
    </w:rPr>
  </w:style>
  <w:style w:type="paragraph" w:styleId="Ttulo4">
    <w:name w:val="heading 4"/>
    <w:basedOn w:val="Normal"/>
    <w:next w:val="Normal"/>
    <w:link w:val="Ttulo4Car"/>
    <w:qFormat/>
    <w:pPr>
      <w:keepNext/>
      <w:jc w:val="both"/>
      <w:outlineLvl w:val="3"/>
    </w:pPr>
    <w:rPr>
      <w:sz w:val="24"/>
    </w:rPr>
  </w:style>
  <w:style w:type="paragraph" w:styleId="Ttulo5">
    <w:name w:val="heading 5"/>
    <w:basedOn w:val="Normal"/>
    <w:next w:val="Normal"/>
    <w:qFormat/>
    <w:pPr>
      <w:keepNext/>
      <w:outlineLvl w:val="4"/>
    </w:pPr>
    <w:rPr>
      <w:sz w:val="24"/>
    </w:rPr>
  </w:style>
  <w:style w:type="paragraph" w:styleId="Ttulo6">
    <w:name w:val="heading 6"/>
    <w:basedOn w:val="Normal"/>
    <w:next w:val="Normal"/>
    <w:qFormat/>
    <w:pPr>
      <w:keepNext/>
      <w:ind w:left="705"/>
      <w:jc w:val="center"/>
      <w:outlineLvl w:val="5"/>
    </w:pPr>
    <w:rPr>
      <w:b/>
      <w:sz w:val="24"/>
    </w:rPr>
  </w:style>
  <w:style w:type="paragraph" w:styleId="Ttulo7">
    <w:name w:val="heading 7"/>
    <w:basedOn w:val="Normal"/>
    <w:next w:val="Normal"/>
    <w:link w:val="Ttulo7Car"/>
    <w:qFormat/>
    <w:pPr>
      <w:keepNext/>
      <w:jc w:val="both"/>
      <w:outlineLvl w:val="6"/>
    </w:pPr>
    <w:rPr>
      <w:b/>
      <w:sz w:val="24"/>
    </w:rPr>
  </w:style>
  <w:style w:type="paragraph" w:styleId="Ttulo8">
    <w:name w:val="heading 8"/>
    <w:basedOn w:val="Normal"/>
    <w:next w:val="Normal"/>
    <w:link w:val="Ttulo8Car"/>
    <w:qFormat/>
    <w:pPr>
      <w:keepNext/>
      <w:jc w:val="center"/>
      <w:outlineLvl w:val="7"/>
    </w:pPr>
    <w:rPr>
      <w:b/>
    </w:rPr>
  </w:style>
  <w:style w:type="paragraph" w:styleId="Ttulo9">
    <w:name w:val="heading 9"/>
    <w:basedOn w:val="Normal"/>
    <w:next w:val="Normal"/>
    <w:qFormat/>
    <w:pPr>
      <w:keepNext/>
      <w:jc w:val="center"/>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widowControl w:val="0"/>
      <w:tabs>
        <w:tab w:val="left" w:pos="720"/>
        <w:tab w:val="left" w:pos="1296"/>
        <w:tab w:val="left" w:pos="2016"/>
      </w:tabs>
      <w:jc w:val="center"/>
    </w:pPr>
    <w:rPr>
      <w:rFonts w:ascii="Arial" w:hAnsi="Arial"/>
      <w:b/>
      <w:snapToGrid w:val="0"/>
      <w:sz w:val="24"/>
      <w:lang w:val="es-ES_tradnl"/>
    </w:rPr>
  </w:style>
  <w:style w:type="paragraph" w:styleId="Sangra2detindependiente">
    <w:name w:val="Body Text Indent 2"/>
    <w:basedOn w:val="Normal"/>
    <w:link w:val="Sangra2detindependienteCar"/>
    <w:pPr>
      <w:tabs>
        <w:tab w:val="left" w:pos="-2160"/>
        <w:tab w:val="left" w:pos="-1980"/>
      </w:tabs>
      <w:ind w:left="705"/>
      <w:jc w:val="both"/>
    </w:pPr>
    <w:rPr>
      <w:snapToGrid w:val="0"/>
      <w:sz w:val="24"/>
      <w:lang w:val="es-ES_tradnl"/>
    </w:rPr>
  </w:style>
  <w:style w:type="paragraph" w:styleId="Sangradetextonormal">
    <w:name w:val="Body Text Indent"/>
    <w:basedOn w:val="Normal"/>
    <w:pPr>
      <w:tabs>
        <w:tab w:val="left" w:pos="-2160"/>
        <w:tab w:val="left" w:pos="-1980"/>
      </w:tabs>
      <w:ind w:left="705"/>
    </w:pPr>
    <w:rPr>
      <w:snapToGrid w:val="0"/>
      <w:sz w:val="24"/>
      <w:lang w:val="es-ES_tradnl"/>
    </w:rPr>
  </w:style>
  <w:style w:type="paragraph" w:styleId="Textoindependiente2">
    <w:name w:val="Body Text 2"/>
    <w:basedOn w:val="Normal"/>
    <w:link w:val="Textoindependiente2Car"/>
    <w:pPr>
      <w:tabs>
        <w:tab w:val="left" w:pos="-2160"/>
        <w:tab w:val="left" w:pos="-1980"/>
      </w:tabs>
      <w:jc w:val="both"/>
    </w:pPr>
    <w:rPr>
      <w:sz w:val="24"/>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link w:val="Textoindependiente3Car"/>
    <w:pPr>
      <w:jc w:val="both"/>
    </w:pPr>
    <w:rPr>
      <w:sz w:val="24"/>
      <w:u w:val="single"/>
    </w:rPr>
  </w:style>
  <w:style w:type="paragraph" w:styleId="Sangra3detindependiente">
    <w:name w:val="Body Text Indent 3"/>
    <w:basedOn w:val="Normal"/>
    <w:pPr>
      <w:ind w:left="708"/>
      <w:jc w:val="both"/>
    </w:pPr>
    <w:rPr>
      <w:sz w:val="24"/>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Textodebloque">
    <w:name w:val="Block Text"/>
    <w:basedOn w:val="Normal"/>
    <w:pPr>
      <w:widowControl w:val="0"/>
      <w:ind w:left="360" w:right="-160"/>
      <w:jc w:val="both"/>
    </w:pPr>
    <w:rPr>
      <w:snapToGrid w:val="0"/>
      <w:sz w:val="24"/>
      <w:lang w:val="es-ES_tradnl"/>
    </w:rPr>
  </w:style>
  <w:style w:type="paragraph" w:styleId="Epgrafe">
    <w:name w:val="caption"/>
    <w:basedOn w:val="Normal"/>
    <w:next w:val="Normal"/>
    <w:qFormat/>
    <w:pPr>
      <w:tabs>
        <w:tab w:val="left" w:pos="993"/>
      </w:tabs>
      <w:ind w:hanging="142"/>
      <w:jc w:val="both"/>
    </w:pPr>
    <w:rPr>
      <w:rFonts w:ascii="Arial" w:hAnsi="Arial"/>
      <w:b/>
      <w:sz w:val="24"/>
    </w:rPr>
  </w:style>
  <w:style w:type="character" w:styleId="Hipervnculovisitado">
    <w:name w:val="FollowedHyperlink"/>
    <w:rPr>
      <w:color w:val="800080"/>
      <w:u w:val="single"/>
    </w:rPr>
  </w:style>
  <w:style w:type="paragraph" w:styleId="Textodeglobo">
    <w:name w:val="Balloon Text"/>
    <w:basedOn w:val="Normal"/>
    <w:semiHidden/>
    <w:rPr>
      <w:rFonts w:ascii="Tahoma" w:hAnsi="Tahoma" w:cs="Tahoma"/>
      <w:sz w:val="16"/>
      <w:szCs w:val="16"/>
    </w:rPr>
  </w:style>
  <w:style w:type="paragraph" w:styleId="Prrafodelista">
    <w:name w:val="List Paragraph"/>
    <w:basedOn w:val="Normal"/>
    <w:qFormat/>
    <w:pPr>
      <w:ind w:left="708"/>
    </w:pPr>
  </w:style>
  <w:style w:type="character" w:customStyle="1" w:styleId="TextoindependienteCar">
    <w:name w:val="Texto independiente Car"/>
    <w:semiHidden/>
    <w:rPr>
      <w:rFonts w:ascii="Arial" w:eastAsia="Times New Roman" w:hAnsi="Arial" w:cs="Times New Roman"/>
      <w:b/>
      <w:snapToGrid w:val="0"/>
      <w:sz w:val="24"/>
      <w:szCs w:val="20"/>
      <w:lang w:val="es-ES_tradnl" w:eastAsia="es-ES"/>
    </w:rPr>
  </w:style>
  <w:style w:type="paragraph" w:styleId="Revisin">
    <w:name w:val="Revision"/>
    <w:rPr>
      <w:lang w:val="es-ES" w:eastAsia="es-ES"/>
    </w:rPr>
  </w:style>
  <w:style w:type="paragraph" w:customStyle="1" w:styleId="Prrafodelista1">
    <w:name w:val="Párrafo de lista1"/>
    <w:basedOn w:val="Normal"/>
    <w:pPr>
      <w:ind w:left="708"/>
    </w:pPr>
  </w:style>
  <w:style w:type="paragraph" w:customStyle="1" w:styleId="Default">
    <w:name w:val="Default"/>
    <w:pPr>
      <w:autoSpaceDE w:val="0"/>
      <w:autoSpaceDN w:val="0"/>
      <w:adjustRightInd w:val="0"/>
    </w:pPr>
    <w:rPr>
      <w:rFonts w:ascii="Arial Narrow" w:hAnsi="Arial Narrow"/>
      <w:color w:val="000000"/>
      <w:sz w:val="24"/>
      <w:szCs w:val="24"/>
      <w:lang w:val="es-ES" w:eastAsia="es-ES"/>
    </w:rPr>
  </w:style>
  <w:style w:type="character" w:customStyle="1" w:styleId="Ttulo7Car">
    <w:name w:val="Título 7 Car"/>
    <w:link w:val="Ttulo7"/>
    <w:rsid w:val="00397B31"/>
    <w:rPr>
      <w:b/>
      <w:sz w:val="24"/>
      <w:lang w:val="es-ES" w:eastAsia="es-ES" w:bidi="ar-SA"/>
    </w:rPr>
  </w:style>
  <w:style w:type="character" w:customStyle="1" w:styleId="Ttulo4Car">
    <w:name w:val="Título 4 Car"/>
    <w:link w:val="Ttulo4"/>
    <w:rsid w:val="008C6B5A"/>
    <w:rPr>
      <w:sz w:val="24"/>
      <w:lang w:val="es-ES" w:eastAsia="es-ES"/>
    </w:rPr>
  </w:style>
  <w:style w:type="character" w:customStyle="1" w:styleId="Textoindependiente2Car">
    <w:name w:val="Texto independiente 2 Car"/>
    <w:link w:val="Textoindependiente2"/>
    <w:rsid w:val="008C6B5A"/>
    <w:rPr>
      <w:sz w:val="24"/>
      <w:lang w:val="es-ES" w:eastAsia="es-ES"/>
    </w:rPr>
  </w:style>
  <w:style w:type="character" w:customStyle="1" w:styleId="Textoindependiente3Car">
    <w:name w:val="Texto independiente 3 Car"/>
    <w:basedOn w:val="Fuentedeprrafopredeter"/>
    <w:link w:val="Textoindependiente3"/>
    <w:rsid w:val="00580BD9"/>
    <w:rPr>
      <w:sz w:val="24"/>
      <w:u w:val="single"/>
      <w:lang w:val="es-ES" w:eastAsia="es-ES"/>
    </w:rPr>
  </w:style>
  <w:style w:type="character" w:customStyle="1" w:styleId="Ttulo8Car">
    <w:name w:val="Título 8 Car"/>
    <w:basedOn w:val="Fuentedeprrafopredeter"/>
    <w:link w:val="Ttulo8"/>
    <w:rsid w:val="00175FAA"/>
    <w:rPr>
      <w:b/>
      <w:lang w:val="es-ES" w:eastAsia="es-ES"/>
    </w:rPr>
  </w:style>
  <w:style w:type="character" w:customStyle="1" w:styleId="Sangra2detindependienteCar">
    <w:name w:val="Sangría 2 de t. independiente Car"/>
    <w:basedOn w:val="Fuentedeprrafopredeter"/>
    <w:link w:val="Sangra2detindependiente"/>
    <w:rsid w:val="0057155D"/>
    <w:rPr>
      <w:snapToGrid w:val="0"/>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2191">
      <w:bodyDiv w:val="1"/>
      <w:marLeft w:val="0"/>
      <w:marRight w:val="0"/>
      <w:marTop w:val="0"/>
      <w:marBottom w:val="0"/>
      <w:divBdr>
        <w:top w:val="none" w:sz="0" w:space="0" w:color="auto"/>
        <w:left w:val="none" w:sz="0" w:space="0" w:color="auto"/>
        <w:bottom w:val="none" w:sz="0" w:space="0" w:color="auto"/>
        <w:right w:val="none" w:sz="0" w:space="0" w:color="auto"/>
      </w:divBdr>
    </w:div>
    <w:div w:id="342783987">
      <w:bodyDiv w:val="1"/>
      <w:marLeft w:val="0"/>
      <w:marRight w:val="0"/>
      <w:marTop w:val="0"/>
      <w:marBottom w:val="0"/>
      <w:divBdr>
        <w:top w:val="none" w:sz="0" w:space="0" w:color="auto"/>
        <w:left w:val="none" w:sz="0" w:space="0" w:color="auto"/>
        <w:bottom w:val="none" w:sz="0" w:space="0" w:color="auto"/>
        <w:right w:val="none" w:sz="0" w:space="0" w:color="auto"/>
      </w:divBdr>
    </w:div>
    <w:div w:id="447243695">
      <w:bodyDiv w:val="1"/>
      <w:marLeft w:val="0"/>
      <w:marRight w:val="0"/>
      <w:marTop w:val="0"/>
      <w:marBottom w:val="0"/>
      <w:divBdr>
        <w:top w:val="none" w:sz="0" w:space="0" w:color="auto"/>
        <w:left w:val="none" w:sz="0" w:space="0" w:color="auto"/>
        <w:bottom w:val="none" w:sz="0" w:space="0" w:color="auto"/>
        <w:right w:val="none" w:sz="0" w:space="0" w:color="auto"/>
      </w:divBdr>
    </w:div>
    <w:div w:id="511535264">
      <w:bodyDiv w:val="1"/>
      <w:marLeft w:val="0"/>
      <w:marRight w:val="0"/>
      <w:marTop w:val="0"/>
      <w:marBottom w:val="0"/>
      <w:divBdr>
        <w:top w:val="none" w:sz="0" w:space="0" w:color="auto"/>
        <w:left w:val="none" w:sz="0" w:space="0" w:color="auto"/>
        <w:bottom w:val="none" w:sz="0" w:space="0" w:color="auto"/>
        <w:right w:val="none" w:sz="0" w:space="0" w:color="auto"/>
      </w:divBdr>
    </w:div>
    <w:div w:id="621955666">
      <w:bodyDiv w:val="1"/>
      <w:marLeft w:val="0"/>
      <w:marRight w:val="0"/>
      <w:marTop w:val="0"/>
      <w:marBottom w:val="0"/>
      <w:divBdr>
        <w:top w:val="none" w:sz="0" w:space="0" w:color="auto"/>
        <w:left w:val="none" w:sz="0" w:space="0" w:color="auto"/>
        <w:bottom w:val="none" w:sz="0" w:space="0" w:color="auto"/>
        <w:right w:val="none" w:sz="0" w:space="0" w:color="auto"/>
      </w:divBdr>
    </w:div>
    <w:div w:id="712728439">
      <w:bodyDiv w:val="1"/>
      <w:marLeft w:val="0"/>
      <w:marRight w:val="0"/>
      <w:marTop w:val="0"/>
      <w:marBottom w:val="0"/>
      <w:divBdr>
        <w:top w:val="none" w:sz="0" w:space="0" w:color="auto"/>
        <w:left w:val="none" w:sz="0" w:space="0" w:color="auto"/>
        <w:bottom w:val="none" w:sz="0" w:space="0" w:color="auto"/>
        <w:right w:val="none" w:sz="0" w:space="0" w:color="auto"/>
      </w:divBdr>
    </w:div>
    <w:div w:id="1105269087">
      <w:bodyDiv w:val="1"/>
      <w:marLeft w:val="0"/>
      <w:marRight w:val="0"/>
      <w:marTop w:val="0"/>
      <w:marBottom w:val="0"/>
      <w:divBdr>
        <w:top w:val="none" w:sz="0" w:space="0" w:color="auto"/>
        <w:left w:val="none" w:sz="0" w:space="0" w:color="auto"/>
        <w:bottom w:val="none" w:sz="0" w:space="0" w:color="auto"/>
        <w:right w:val="none" w:sz="0" w:space="0" w:color="auto"/>
      </w:divBdr>
    </w:div>
    <w:div w:id="1454329605">
      <w:bodyDiv w:val="1"/>
      <w:marLeft w:val="0"/>
      <w:marRight w:val="0"/>
      <w:marTop w:val="0"/>
      <w:marBottom w:val="0"/>
      <w:divBdr>
        <w:top w:val="none" w:sz="0" w:space="0" w:color="auto"/>
        <w:left w:val="none" w:sz="0" w:space="0" w:color="auto"/>
        <w:bottom w:val="none" w:sz="0" w:space="0" w:color="auto"/>
        <w:right w:val="none" w:sz="0" w:space="0" w:color="auto"/>
      </w:divBdr>
    </w:div>
    <w:div w:id="1605989451">
      <w:bodyDiv w:val="1"/>
      <w:marLeft w:val="0"/>
      <w:marRight w:val="0"/>
      <w:marTop w:val="0"/>
      <w:marBottom w:val="0"/>
      <w:divBdr>
        <w:top w:val="none" w:sz="0" w:space="0" w:color="auto"/>
        <w:left w:val="none" w:sz="0" w:space="0" w:color="auto"/>
        <w:bottom w:val="none" w:sz="0" w:space="0" w:color="auto"/>
        <w:right w:val="none" w:sz="0" w:space="0" w:color="auto"/>
      </w:divBdr>
    </w:div>
    <w:div w:id="1770542866">
      <w:bodyDiv w:val="1"/>
      <w:marLeft w:val="0"/>
      <w:marRight w:val="0"/>
      <w:marTop w:val="0"/>
      <w:marBottom w:val="0"/>
      <w:divBdr>
        <w:top w:val="none" w:sz="0" w:space="0" w:color="auto"/>
        <w:left w:val="none" w:sz="0" w:space="0" w:color="auto"/>
        <w:bottom w:val="none" w:sz="0" w:space="0" w:color="auto"/>
        <w:right w:val="none" w:sz="0" w:space="0" w:color="auto"/>
      </w:divBdr>
    </w:div>
    <w:div w:id="1889611383">
      <w:bodyDiv w:val="1"/>
      <w:marLeft w:val="0"/>
      <w:marRight w:val="0"/>
      <w:marTop w:val="0"/>
      <w:marBottom w:val="0"/>
      <w:divBdr>
        <w:top w:val="none" w:sz="0" w:space="0" w:color="auto"/>
        <w:left w:val="none" w:sz="0" w:space="0" w:color="auto"/>
        <w:bottom w:val="none" w:sz="0" w:space="0" w:color="auto"/>
        <w:right w:val="none" w:sz="0" w:space="0" w:color="auto"/>
      </w:divBdr>
    </w:div>
    <w:div w:id="1893887305">
      <w:bodyDiv w:val="1"/>
      <w:marLeft w:val="0"/>
      <w:marRight w:val="0"/>
      <w:marTop w:val="0"/>
      <w:marBottom w:val="0"/>
      <w:divBdr>
        <w:top w:val="none" w:sz="0" w:space="0" w:color="auto"/>
        <w:left w:val="none" w:sz="0" w:space="0" w:color="auto"/>
        <w:bottom w:val="none" w:sz="0" w:space="0" w:color="auto"/>
        <w:right w:val="none" w:sz="0" w:space="0" w:color="auto"/>
      </w:divBdr>
    </w:div>
    <w:div w:id="19274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2.xls"/><Relationship Id="rId18" Type="http://schemas.openxmlformats.org/officeDocument/2006/relationships/hyperlink" Target="NOTA%208.pdf" TargetMode="External"/><Relationship Id="rId26" Type="http://schemas.openxmlformats.org/officeDocument/2006/relationships/oleObject" Target="embeddings/Microsoft_Excel_97-2003_Worksheet7.xls"/><Relationship Id="rId39" Type="http://schemas.openxmlformats.org/officeDocument/2006/relationships/oleObject" Target="embeddings/Microsoft_Excel_97-2003_Worksheet11.xls"/><Relationship Id="rId3" Type="http://schemas.openxmlformats.org/officeDocument/2006/relationships/styles" Target="styles.xml"/><Relationship Id="rId21" Type="http://schemas.openxmlformats.org/officeDocument/2006/relationships/oleObject" Target="embeddings/Microsoft_Excel_97-2003_Worksheet5.xls"/><Relationship Id="rId34" Type="http://schemas.openxmlformats.org/officeDocument/2006/relationships/hyperlink" Target="NOTA%2030.pdf"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Microsoft_Excel_97-2003_Worksheet4.xls"/><Relationship Id="rId25" Type="http://schemas.openxmlformats.org/officeDocument/2006/relationships/image" Target="media/image7.emf"/><Relationship Id="rId33" Type="http://schemas.openxmlformats.org/officeDocument/2006/relationships/oleObject" Target="embeddings/Microsoft_Excel_97-2003_Worksheet9.xls"/><Relationship Id="rId38"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5.emf"/><Relationship Id="rId29" Type="http://schemas.openxmlformats.org/officeDocument/2006/relationships/image" Target="media/image8.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NOTA%206.pdf" TargetMode="External"/><Relationship Id="rId24" Type="http://schemas.openxmlformats.org/officeDocument/2006/relationships/oleObject" Target="embeddings/Microsoft_Excel_97-2003_Worksheet6.xls"/><Relationship Id="rId32" Type="http://schemas.openxmlformats.org/officeDocument/2006/relationships/image" Target="media/image9.emf"/><Relationship Id="rId37" Type="http://schemas.openxmlformats.org/officeDocument/2006/relationships/oleObject" Target="embeddings/Microsoft_Excel_97-2003_Worksheet10.xls"/><Relationship Id="rId40" Type="http://schemas.openxmlformats.org/officeDocument/2006/relationships/hyperlink" Target="NOTA%2043.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Microsoft_Excel_97-2003_Worksheet3.xls"/><Relationship Id="rId23" Type="http://schemas.openxmlformats.org/officeDocument/2006/relationships/image" Target="media/image6.emf"/><Relationship Id="rId28" Type="http://schemas.openxmlformats.org/officeDocument/2006/relationships/hyperlink" Target="NOTA%2015.pdf" TargetMode="External"/><Relationship Id="rId36" Type="http://schemas.openxmlformats.org/officeDocument/2006/relationships/image" Target="media/image10.emf"/><Relationship Id="rId10" Type="http://schemas.openxmlformats.org/officeDocument/2006/relationships/oleObject" Target="embeddings/Microsoft_Excel_97-2003_Worksheet1.xls"/><Relationship Id="rId19" Type="http://schemas.openxmlformats.org/officeDocument/2006/relationships/hyperlink" Target="ACTIVOS%20EXTRAORDINARIOS%2031DE%20MARZO%20DE%202016.xlsx" TargetMode="External"/><Relationship Id="rId31" Type="http://schemas.openxmlformats.org/officeDocument/2006/relationships/hyperlink" Target="NOTA%2027.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hyperlink" Target="NOTA%2012.pdf" TargetMode="External"/><Relationship Id="rId27" Type="http://schemas.openxmlformats.org/officeDocument/2006/relationships/hyperlink" Target="NOTA%2014.pdf" TargetMode="External"/><Relationship Id="rId30" Type="http://schemas.openxmlformats.org/officeDocument/2006/relationships/oleObject" Target="embeddings/Microsoft_Excel_97-2003_Worksheet8.xls"/><Relationship Id="rId35" Type="http://schemas.openxmlformats.org/officeDocument/2006/relationships/hyperlink" Target="NOTA%2032.pdf" TargetMode="External"/><Relationship Id="rId43"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DCA31-8139-433F-ABB7-AC48E604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2774</Words>
  <Characters>15262</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REGLAMENTO NCB________</vt:lpstr>
    </vt:vector>
  </TitlesOfParts>
  <Company>SSF</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NCB________</dc:title>
  <dc:creator>SSF</dc:creator>
  <cp:lastModifiedBy>GF-DC-Menjivar,Ana</cp:lastModifiedBy>
  <cp:revision>42</cp:revision>
  <cp:lastPrinted>2016-04-22T20:33:00Z</cp:lastPrinted>
  <dcterms:created xsi:type="dcterms:W3CDTF">2016-04-15T21:19:00Z</dcterms:created>
  <dcterms:modified xsi:type="dcterms:W3CDTF">2016-04-27T15:22:00Z</dcterms:modified>
</cp:coreProperties>
</file>