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62" w:rsidRPr="00717362" w:rsidRDefault="000323F0" w:rsidP="00717362">
      <w:pPr>
        <w:spacing w:before="172" w:after="0" w:line="276" w:lineRule="auto"/>
        <w:ind w:right="108"/>
        <w:jc w:val="right"/>
        <w:rPr>
          <w:rFonts w:ascii="Museo Sans 300" w:eastAsia="Times New Roman" w:hAnsi="Museo Sans 300" w:cs="Calibri Light"/>
          <w:b/>
          <w:lang w:val="es-ES_tradnl" w:eastAsia="es-ES"/>
        </w:rPr>
      </w:pPr>
      <w:r>
        <w:rPr>
          <w:rFonts w:ascii="Museo Sans 300" w:eastAsia="Times New Roman" w:hAnsi="Museo Sans 300" w:cs="Calibri Light"/>
          <w:b/>
          <w:lang w:val="es-ES_tradnl" w:eastAsia="es-ES"/>
        </w:rPr>
        <w:t>Res_UAIP_116</w:t>
      </w:r>
      <w:r w:rsidR="00717362" w:rsidRPr="00717362">
        <w:rPr>
          <w:rFonts w:ascii="Museo Sans 300" w:eastAsia="Times New Roman" w:hAnsi="Museo Sans 300" w:cs="Calibri Light"/>
          <w:b/>
          <w:lang w:val="es-ES_tradnl" w:eastAsia="es-ES"/>
        </w:rPr>
        <w:t>/2020</w:t>
      </w:r>
    </w:p>
    <w:p w:rsidR="00717362" w:rsidRPr="00717362" w:rsidRDefault="00717362" w:rsidP="00717362">
      <w:pPr>
        <w:spacing w:before="172" w:after="0" w:line="300" w:lineRule="auto"/>
        <w:ind w:right="108"/>
        <w:jc w:val="both"/>
        <w:rPr>
          <w:rFonts w:ascii="Museo Sans 300" w:eastAsia="Calibri" w:hAnsi="Museo Sans 300" w:cs="Calibri Light"/>
          <w:b/>
          <w:lang w:val="es-ES_tradnl" w:eastAsia="es-ES"/>
        </w:rPr>
      </w:pPr>
    </w:p>
    <w:p w:rsidR="00717362" w:rsidRPr="00717362" w:rsidRDefault="00717362" w:rsidP="000323F0">
      <w:pPr>
        <w:spacing w:before="172" w:after="0" w:line="360" w:lineRule="auto"/>
        <w:ind w:right="108"/>
        <w:jc w:val="both"/>
        <w:rPr>
          <w:rFonts w:ascii="Museo Sans 300" w:eastAsia="Times New Roman" w:hAnsi="Museo Sans 300" w:cs="Calibri Light"/>
          <w:lang w:val="es-ES_tradnl" w:eastAsia="es-ES"/>
        </w:rPr>
      </w:pPr>
      <w:r w:rsidRPr="00717362">
        <w:rPr>
          <w:rFonts w:ascii="Museo Sans 300" w:eastAsia="Calibri" w:hAnsi="Museo Sans 300" w:cs="Calibri Light"/>
          <w:b/>
          <w:lang w:val="es-ES_tradnl" w:eastAsia="es-ES"/>
        </w:rPr>
        <w:t xml:space="preserve">UNIDAD DE ACCESO A LA INFORMACIÓN PUBLICA </w:t>
      </w:r>
      <w:r w:rsidRPr="00717362">
        <w:rPr>
          <w:rFonts w:ascii="Museo Sans 300" w:eastAsia="Calibri" w:hAnsi="Museo Sans 300" w:cs="Calibri Light"/>
          <w:lang w:val="es-ES_tradnl" w:eastAsia="es-ES"/>
        </w:rPr>
        <w:t>de la</w:t>
      </w:r>
      <w:r w:rsidRPr="00717362">
        <w:rPr>
          <w:rFonts w:ascii="Museo Sans 300" w:eastAsia="Calibri" w:hAnsi="Museo Sans 300" w:cs="Calibri Light"/>
          <w:b/>
          <w:lang w:val="es-ES_tradnl" w:eastAsia="es-ES"/>
        </w:rPr>
        <w:t xml:space="preserve"> COMISIÓN EJECUTIVA PORTUARIA AUTÓNOMA -CEPA-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; San Salvador, a las </w:t>
      </w:r>
      <w:r w:rsidR="007B1BF8">
        <w:rPr>
          <w:rFonts w:ascii="Museo Sans 300" w:eastAsia="Calibri" w:hAnsi="Museo Sans 300" w:cs="Calibri Light"/>
          <w:lang w:val="es-ES_tradnl" w:eastAsia="es-ES"/>
        </w:rPr>
        <w:t>quince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 horas </w:t>
      </w:r>
      <w:r w:rsidR="007B1BF8">
        <w:rPr>
          <w:rFonts w:ascii="Museo Sans 300" w:eastAsia="Calibri" w:hAnsi="Museo Sans 300" w:cs="Calibri Light"/>
          <w:lang w:val="es-ES_tradnl" w:eastAsia="es-ES"/>
        </w:rPr>
        <w:t xml:space="preserve">con veintiséis minutos del 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día </w:t>
      </w:r>
      <w:r w:rsidR="007B1BF8">
        <w:rPr>
          <w:rFonts w:ascii="Museo Sans 300" w:eastAsia="Calibri" w:hAnsi="Museo Sans 300" w:cs="Calibri Light"/>
          <w:lang w:val="es-ES_tradnl" w:eastAsia="es-ES"/>
        </w:rPr>
        <w:t>once</w:t>
      </w:r>
      <w:r>
        <w:rPr>
          <w:rFonts w:ascii="Museo Sans 300" w:eastAsia="Calibri" w:hAnsi="Museo Sans 300" w:cs="Calibri Light"/>
          <w:lang w:val="es-ES_tradnl" w:eastAsia="es-ES"/>
        </w:rPr>
        <w:t xml:space="preserve"> </w:t>
      </w:r>
      <w:r w:rsidR="007B1BF8">
        <w:rPr>
          <w:rFonts w:ascii="Museo Sans 300" w:eastAsia="Calibri" w:hAnsi="Museo Sans 300" w:cs="Calibri Light"/>
          <w:lang w:val="es-ES_tradnl" w:eastAsia="es-ES"/>
        </w:rPr>
        <w:t>de septiembre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 de dos mil veinte, después de admitir y gestionar la solicitud de información asignada bajo la referencia </w:t>
      </w:r>
      <w:r w:rsidRPr="00717362">
        <w:rPr>
          <w:rFonts w:ascii="Museo Sans 300" w:eastAsia="Calibri" w:hAnsi="Museo Sans 300" w:cs="Calibri Light"/>
          <w:b/>
          <w:lang w:val="es-ES_tradnl" w:eastAsia="es-ES"/>
        </w:rPr>
        <w:t>Sol_UAIP_0</w:t>
      </w:r>
      <w:r w:rsidR="007B1BF8">
        <w:rPr>
          <w:rFonts w:ascii="Museo Sans 300" w:eastAsia="Calibri" w:hAnsi="Museo Sans 300" w:cs="Calibri Light"/>
          <w:b/>
          <w:lang w:val="es-ES_tradnl" w:eastAsia="es-ES"/>
        </w:rPr>
        <w:t>45</w:t>
      </w:r>
      <w:r w:rsidRPr="00717362">
        <w:rPr>
          <w:rFonts w:ascii="Museo Sans 300" w:eastAsia="Calibri" w:hAnsi="Museo Sans 300" w:cs="Calibri Light"/>
          <w:b/>
          <w:lang w:val="es-ES_tradnl" w:eastAsia="es-ES"/>
        </w:rPr>
        <w:t>/2020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 solicitando lo siguiente</w:t>
      </w:r>
      <w:r w:rsidRPr="00717362">
        <w:rPr>
          <w:rFonts w:ascii="Museo Sans 300" w:eastAsia="Times New Roman" w:hAnsi="Museo Sans 300" w:cs="Calibri Light"/>
          <w:lang w:val="es-ES_tradnl" w:eastAsia="es-ES"/>
        </w:rPr>
        <w:t>:</w:t>
      </w: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Información más reciente sobre puertos</w:t>
      </w:r>
    </w:p>
    <w:p w:rsidR="007B1BF8" w:rsidRPr="0071548C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Capacidad del puerto</w:t>
      </w:r>
    </w:p>
    <w:p w:rsidR="007B1BF8" w:rsidRPr="0071548C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28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Pr="0071548C" w:rsidRDefault="007B1BF8" w:rsidP="000323F0">
      <w:pPr>
        <w:pStyle w:val="Prrafodelista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 xml:space="preserve">Volumen anual de manejo de carga (Carga entera, Contenedores, </w:t>
      </w:r>
      <w:proofErr w:type="spellStart"/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Graneles</w:t>
      </w:r>
      <w:proofErr w:type="spellEnd"/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 xml:space="preserve"> Sólidos, </w:t>
      </w:r>
      <w:proofErr w:type="spellStart"/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Graneles</w:t>
      </w:r>
      <w:proofErr w:type="spellEnd"/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 xml:space="preserve"> Líquidos)</w:t>
      </w:r>
    </w:p>
    <w:p w:rsidR="007B1BF8" w:rsidRDefault="007B1BF8" w:rsidP="000323F0">
      <w:pPr>
        <w:pStyle w:val="Prrafodelista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Tamaño máximo de acomodo del buque (Buques portacontenedores, buques de granel sólidos, buques de granel líquido, cruceros de pasajeros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36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Infraestructura y equipamiento a gran escala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28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Diseño de canales e instalaciones portuarias (mapa, plano)</w:t>
      </w: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Canales (Longitud, ancho, profundidad (con marea baja), condiciones de oleaje / corriente)</w:t>
      </w: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Terminal de Contenedores (Dimensiones de los muelles, Número y tamaño de grúa de buque, Área de patios y espacios en tierra, número de enchufes para contenedores refrigerados, área de CFS (Estación de Carga de Contenedores)</w:t>
      </w: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lastRenderedPageBreak/>
        <w:t>Carga general / terminal multipropósito (Dimensiones de los muelles, Número y tamaño de la grúa de buque, Área de patios, escala de almacenes)</w:t>
      </w: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71548C">
        <w:rPr>
          <w:rFonts w:ascii="Museo Sans 300" w:eastAsia="MS Mincho" w:hAnsi="Museo Sans 300" w:cs="Times New Roman"/>
          <w:iCs/>
          <w:w w:val="105"/>
          <w:lang w:eastAsia="es-ES"/>
        </w:rPr>
        <w:t>v. Terminal de granel líquido (Dimensiones de los muelles, tipo y capacidad del equipo de carga / descarga a gran escala, capacidad de la instalación de almacenamiento)</w:t>
      </w:r>
    </w:p>
    <w:p w:rsidR="007B1BF8" w:rsidRDefault="007B1BF8" w:rsidP="000323F0">
      <w:pPr>
        <w:pStyle w:val="Prrafodelista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Terminal de granel sólido (Dimensiones de los muelles, tipo y capacidad de la grúa de buque, área de patios, escala de los almacenes)</w:t>
      </w: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Estadísticas portuarias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28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Número de buques que hacen escala, por tipo y tamaño (últimos 5 años)</w:t>
      </w:r>
    </w:p>
    <w:p w:rsidR="007B1BF8" w:rsidRDefault="007B1BF8" w:rsidP="000323F0">
      <w:pPr>
        <w:pStyle w:val="Prrafodelista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Volumen de carga por carga / descarga y mercancía (últimos 5 años)</w:t>
      </w:r>
    </w:p>
    <w:p w:rsidR="007B1BF8" w:rsidRDefault="007B1BF8" w:rsidP="000323F0">
      <w:pPr>
        <w:pStyle w:val="Prrafodelista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Volumen de carga de tránsito por importación / exportación y país (últimos 5 años)</w:t>
      </w:r>
    </w:p>
    <w:p w:rsidR="007B1BF8" w:rsidRDefault="007B1BF8" w:rsidP="000323F0">
      <w:pPr>
        <w:pStyle w:val="Prrafodelista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Países de origen o destino de los 3 principales productos de carga importada y exportada (último año)</w:t>
      </w: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Contenedores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28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Pr="00B554A1" w:rsidRDefault="007B1BF8" w:rsidP="000323F0">
      <w:pPr>
        <w:pStyle w:val="Prrafodelista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Contenedores de importación y exportación, locales / tránsito / transbordo, tamaño, cargado / descargado (últimos 5 años)</w:t>
      </w: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contextualSpacing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contextualSpacing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Servicio regular de contenedores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Puertos de escala de la ruta</w:t>
      </w:r>
    </w:p>
    <w:p w:rsidR="007B1BF8" w:rsidRDefault="007B1BF8" w:rsidP="000323F0">
      <w:pPr>
        <w:pStyle w:val="Prrafodelista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Embarcaciones desplegadas (capacidad, engranajes) y horarios,</w:t>
      </w:r>
    </w:p>
    <w:p w:rsidR="007B1BF8" w:rsidRDefault="007B1BF8" w:rsidP="000323F0">
      <w:pPr>
        <w:pStyle w:val="Prrafodelista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Promedio de carga / descarga de contenedores en una escala.</w:t>
      </w:r>
    </w:p>
    <w:p w:rsidR="007B1BF8" w:rsidRDefault="007B1BF8" w:rsidP="000323F0">
      <w:pPr>
        <w:pStyle w:val="Prrafodelista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Año de inicio de operación</w:t>
      </w:r>
    </w:p>
    <w:p w:rsidR="007B1BF8" w:rsidRDefault="007B1BF8" w:rsidP="000323F0">
      <w:pPr>
        <w:pStyle w:val="Prrafodelista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Cambio de servicio (buques, frecuencia, etc.) en los últimos 5 años.</w:t>
      </w:r>
    </w:p>
    <w:p w:rsidR="007B1BF8" w:rsidRPr="00B554A1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Pasajeros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Número de pasajeros de cruceros (últimos 5 años)</w:t>
      </w:r>
    </w:p>
    <w:p w:rsidR="007B1BF8" w:rsidRDefault="007B1BF8" w:rsidP="000323F0">
      <w:pPr>
        <w:pStyle w:val="Prrafodelista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B554A1">
        <w:rPr>
          <w:rFonts w:ascii="Museo Sans 300" w:eastAsia="MS Mincho" w:hAnsi="Museo Sans 300" w:cs="Times New Roman"/>
          <w:iCs/>
          <w:w w:val="105"/>
          <w:lang w:eastAsia="es-ES"/>
        </w:rPr>
        <w:t>Destinos turísticos</w:t>
      </w:r>
    </w:p>
    <w:p w:rsidR="007B1BF8" w:rsidRPr="00B554A1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Operación Portuaria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Operación del canal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Reglas de navegación (practicaje, servicio de remolcadores, uso de ventaja de marea, navegación nocturna, etc.)</w:t>
      </w:r>
    </w:p>
    <w:p w:rsidR="007B1BF8" w:rsidRDefault="007B1BF8" w:rsidP="000323F0">
      <w:pPr>
        <w:pStyle w:val="Prrafodelista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Proveedores de servicios (practicaje, servicio</w:t>
      </w:r>
      <w:r w:rsidRPr="0071548C">
        <w:t xml:space="preserve"> </w:t>
      </w: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de remolcadores)</w:t>
      </w:r>
    </w:p>
    <w:p w:rsidR="007B1BF8" w:rsidRDefault="007B1BF8" w:rsidP="000323F0">
      <w:pPr>
        <w:pStyle w:val="Prrafodelista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iii. Autoridad responsable de la navegación del buque.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48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Operación del muelle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Tasa de ocupación del muelle por atraque</w:t>
      </w:r>
    </w:p>
    <w:p w:rsidR="007B1BF8" w:rsidRDefault="007B1BF8" w:rsidP="000323F0">
      <w:pPr>
        <w:pStyle w:val="Prrafodelista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Promedio de horas de atraque por tipo de embarcación</w:t>
      </w:r>
    </w:p>
    <w:p w:rsidR="007B1BF8" w:rsidRDefault="007B1BF8" w:rsidP="000323F0">
      <w:pPr>
        <w:pStyle w:val="Prrafodelista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lastRenderedPageBreak/>
        <w:t>Productividad del atracadero (volumen de manipulación / hora2atraque) o productividad de la grúa (volumen de manejo / hora2grúa)</w:t>
      </w:r>
    </w:p>
    <w:p w:rsidR="007B1BF8" w:rsidRDefault="007B1BF8" w:rsidP="000323F0">
      <w:pPr>
        <w:pStyle w:val="Prrafodelista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Reglas sobre asignación de atraques incluyendo prioridad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6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Operación del Patio de Contenedores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Equipo, capas de almacenamiento de contenedores (cargados / vacíos)</w:t>
      </w:r>
    </w:p>
    <w:p w:rsidR="007B1BF8" w:rsidRDefault="007B1BF8" w:rsidP="000323F0">
      <w:pPr>
        <w:pStyle w:val="Prrafodelista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Días de permanencia promedio (importación, exportación)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6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Operación de puerta de acceso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Diseño y carriles de puerta de acceso</w:t>
      </w:r>
    </w:p>
    <w:p w:rsidR="007B1BF8" w:rsidRDefault="007B1BF8" w:rsidP="000323F0">
      <w:pPr>
        <w:pStyle w:val="Prrafodelista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Área de estacionamiento frente a las puertas de acceso</w:t>
      </w:r>
    </w:p>
    <w:p w:rsidR="007B1BF8" w:rsidRDefault="007B1BF8" w:rsidP="000323F0">
      <w:pPr>
        <w:pStyle w:val="Prrafodelista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Control contra la congestión vehicular</w:t>
      </w:r>
    </w:p>
    <w:p w:rsidR="007B1BF8" w:rsidRPr="00DF5680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Concesiones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Proyectos de concesión</w:t>
      </w:r>
    </w:p>
    <w:p w:rsidR="007B1BF8" w:rsidRDefault="007B1BF8" w:rsidP="000323F0">
      <w:pPr>
        <w:pStyle w:val="Prrafodelista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Empresas adjudicadas, año de contrato y terminación, condiciones contractuales tales como cánones, inversión, etc.</w:t>
      </w:r>
    </w:p>
    <w:p w:rsidR="007B1BF8" w:rsidRPr="00DF5680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Financiero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Tabla de tarifas</w:t>
      </w:r>
    </w:p>
    <w:p w:rsidR="007B1BF8" w:rsidRDefault="007B1BF8" w:rsidP="000323F0">
      <w:pPr>
        <w:pStyle w:val="Prrafodelista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Situación financiera del organismo de gestión portuaria (ingresos y gastos en el último año)</w:t>
      </w: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contextualSpacing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Despacho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Procedimientos de entrada y salida de embarcaciones.</w:t>
      </w:r>
    </w:p>
    <w:p w:rsidR="007B1BF8" w:rsidRDefault="007B1BF8" w:rsidP="000323F0">
      <w:pPr>
        <w:pStyle w:val="Prrafodelista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Documentación necesaria</w:t>
      </w:r>
    </w:p>
    <w:p w:rsidR="007B1BF8" w:rsidRDefault="007B1BF8" w:rsidP="000323F0">
      <w:pPr>
        <w:pStyle w:val="Prrafodelista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ii. Días / horas para despacho aduanero en general (desde la llegada a la estación piloto hasta el atraque)</w:t>
      </w: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contextualSpacing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contextualSpacing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Relación con el área periférica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Origen o destino de la carga que pasa por el puerto</w:t>
      </w:r>
    </w:p>
    <w:p w:rsidR="007B1BF8" w:rsidRDefault="007B1BF8" w:rsidP="000323F0">
      <w:pPr>
        <w:pStyle w:val="Prrafodelist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Ubicación de las principales ZEE, fábricas y fincas que hacen uso del puerto</w:t>
      </w:r>
    </w:p>
    <w:p w:rsidR="007B1BF8" w:rsidRDefault="007B1BF8" w:rsidP="000323F0">
      <w:pPr>
        <w:pStyle w:val="Prrafodelist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Vía de acceso y horas hacia al puerto.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6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DF5680">
        <w:rPr>
          <w:rFonts w:ascii="Museo Sans 300" w:eastAsia="MS Mincho" w:hAnsi="Museo Sans 300" w:cs="Times New Roman"/>
          <w:iCs/>
          <w:w w:val="105"/>
          <w:lang w:eastAsia="es-ES"/>
        </w:rPr>
        <w:t>Redes de carreteras en el interior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577019">
        <w:rPr>
          <w:rFonts w:ascii="Museo Sans 300" w:eastAsia="MS Mincho" w:hAnsi="Museo Sans 300" w:cs="Times New Roman"/>
          <w:iCs/>
          <w:w w:val="105"/>
          <w:lang w:eastAsia="es-ES"/>
        </w:rPr>
        <w:t>Conexiones con las principales ciudades.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216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577019">
        <w:rPr>
          <w:rFonts w:ascii="Museo Sans 300" w:eastAsia="MS Mincho" w:hAnsi="Museo Sans 300" w:cs="Times New Roman"/>
          <w:iCs/>
          <w:w w:val="105"/>
          <w:lang w:eastAsia="es-ES"/>
        </w:rPr>
        <w:t>Desarrollo Industria</w:t>
      </w:r>
      <w:r>
        <w:rPr>
          <w:rFonts w:ascii="Museo Sans 300" w:eastAsia="MS Mincho" w:hAnsi="Museo Sans 300" w:cs="Times New Roman"/>
          <w:iCs/>
          <w:w w:val="105"/>
          <w:lang w:eastAsia="es-ES"/>
        </w:rPr>
        <w:t>l</w:t>
      </w:r>
    </w:p>
    <w:p w:rsidR="007B1BF8" w:rsidRDefault="007B1BF8" w:rsidP="000323F0">
      <w:pPr>
        <w:pStyle w:val="Prrafodelista"/>
        <w:kinsoku w:val="0"/>
        <w:overflowPunct w:val="0"/>
        <w:autoSpaceDE w:val="0"/>
        <w:autoSpaceDN w:val="0"/>
        <w:adjustRightInd w:val="0"/>
        <w:spacing w:before="172" w:after="0" w:line="360" w:lineRule="auto"/>
        <w:ind w:left="1440"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B1BF8" w:rsidRDefault="007B1BF8" w:rsidP="000323F0">
      <w:pPr>
        <w:pStyle w:val="Prrafodelista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577019">
        <w:rPr>
          <w:rFonts w:ascii="Museo Sans 300" w:eastAsia="MS Mincho" w:hAnsi="Museo Sans 300" w:cs="Times New Roman"/>
          <w:iCs/>
          <w:w w:val="105"/>
          <w:lang w:eastAsia="es-ES"/>
        </w:rPr>
        <w:t>Plan de desarrollo de parques industriales o ZEE en las cercanías del puerto.</w:t>
      </w:r>
    </w:p>
    <w:p w:rsidR="007B1BF8" w:rsidRPr="00401683" w:rsidRDefault="007B1BF8" w:rsidP="000323F0">
      <w:pPr>
        <w:pStyle w:val="Prrafodelista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  <w:r w:rsidRPr="00577019">
        <w:rPr>
          <w:rFonts w:ascii="Museo Sans 300" w:eastAsia="MS Mincho" w:hAnsi="Museo Sans 300" w:cs="Times New Roman"/>
          <w:iCs/>
          <w:w w:val="105"/>
          <w:lang w:eastAsia="es-ES"/>
        </w:rPr>
        <w:t>Proyectos de desarrollo industrial o ag</w:t>
      </w:r>
      <w:r>
        <w:rPr>
          <w:rFonts w:ascii="Museo Sans 300" w:eastAsia="MS Mincho" w:hAnsi="Museo Sans 300" w:cs="Times New Roman"/>
          <w:iCs/>
          <w:w w:val="105"/>
          <w:lang w:eastAsia="es-ES"/>
        </w:rPr>
        <w:t>rícola que utilizarán el puerto”.</w:t>
      </w:r>
    </w:p>
    <w:p w:rsidR="00717362" w:rsidRPr="00717362" w:rsidRDefault="00717362" w:rsidP="000323F0">
      <w:pPr>
        <w:kinsoku w:val="0"/>
        <w:overflowPunct w:val="0"/>
        <w:autoSpaceDE w:val="0"/>
        <w:autoSpaceDN w:val="0"/>
        <w:adjustRightInd w:val="0"/>
        <w:spacing w:before="172" w:after="0" w:line="360" w:lineRule="auto"/>
        <w:ind w:right="110"/>
        <w:jc w:val="both"/>
        <w:rPr>
          <w:rFonts w:ascii="Museo Sans 300" w:eastAsia="MS Mincho" w:hAnsi="Museo Sans 300" w:cs="Times New Roman"/>
          <w:iCs/>
          <w:w w:val="105"/>
          <w:lang w:eastAsia="es-ES"/>
        </w:rPr>
      </w:pPr>
    </w:p>
    <w:p w:rsidR="00717362" w:rsidRDefault="00717362" w:rsidP="000323F0">
      <w:pPr>
        <w:spacing w:after="0" w:line="360" w:lineRule="auto"/>
        <w:jc w:val="both"/>
        <w:rPr>
          <w:rFonts w:ascii="Museo Sans 300" w:eastAsia="Times New Roman" w:hAnsi="Museo Sans 300" w:cs="Calibri Light"/>
          <w:i/>
          <w:lang w:eastAsia="es-ES"/>
        </w:rPr>
      </w:pPr>
    </w:p>
    <w:p w:rsidR="00172E67" w:rsidRPr="00717362" w:rsidRDefault="00172E67" w:rsidP="000323F0">
      <w:pPr>
        <w:spacing w:after="0" w:line="360" w:lineRule="auto"/>
        <w:jc w:val="both"/>
        <w:rPr>
          <w:rFonts w:ascii="Museo Sans 300" w:eastAsia="Times New Roman" w:hAnsi="Museo Sans 300" w:cs="Calibri Light"/>
          <w:i/>
          <w:lang w:eastAsia="es-ES"/>
        </w:rPr>
      </w:pPr>
    </w:p>
    <w:p w:rsidR="00717362" w:rsidRPr="00717362" w:rsidRDefault="00717362" w:rsidP="000323F0">
      <w:pPr>
        <w:tabs>
          <w:tab w:val="left" w:pos="4080"/>
        </w:tabs>
        <w:spacing w:after="0" w:line="360" w:lineRule="auto"/>
        <w:ind w:firstLine="709"/>
        <w:jc w:val="both"/>
        <w:rPr>
          <w:rFonts w:ascii="Museo Sans 300" w:eastAsia="Times New Roman" w:hAnsi="Museo Sans 300" w:cs="Calibri Light"/>
          <w:b/>
          <w:lang w:eastAsia="es-ES"/>
        </w:rPr>
      </w:pPr>
      <w:r w:rsidRPr="00717362">
        <w:rPr>
          <w:rFonts w:ascii="Museo Sans 300" w:eastAsia="Times New Roman" w:hAnsi="Museo Sans 300" w:cs="Calibri Light"/>
          <w:lang w:eastAsia="es-ES"/>
        </w:rPr>
        <w:t xml:space="preserve">Con base a lo solicitado y a los artículos 3 letra a), 62 y 72 letra c) de la Ley de Acceso a la Información Pública -LAIP-, se </w:t>
      </w:r>
      <w:r w:rsidRPr="00717362">
        <w:rPr>
          <w:rFonts w:ascii="Museo Sans 300" w:eastAsia="Times New Roman" w:hAnsi="Museo Sans 300" w:cs="Calibri Light"/>
          <w:b/>
          <w:lang w:eastAsia="es-ES"/>
        </w:rPr>
        <w:t>RESUELVE:</w:t>
      </w:r>
      <w:r w:rsidRPr="00717362">
        <w:rPr>
          <w:rFonts w:ascii="Museo Sans 300" w:eastAsia="Times New Roman" w:hAnsi="Museo Sans 300" w:cs="Calibri Light"/>
          <w:b/>
          <w:lang w:eastAsia="es-ES"/>
        </w:rPr>
        <w:tab/>
      </w:r>
    </w:p>
    <w:p w:rsidR="00717362" w:rsidRPr="00717362" w:rsidRDefault="00717362" w:rsidP="000323F0">
      <w:pPr>
        <w:spacing w:after="0" w:line="360" w:lineRule="auto"/>
        <w:jc w:val="both"/>
        <w:rPr>
          <w:rFonts w:ascii="Museo Sans 300" w:eastAsia="Times New Roman" w:hAnsi="Museo Sans 300" w:cs="Calibri Light"/>
          <w:lang w:eastAsia="es-ES"/>
        </w:rPr>
      </w:pPr>
    </w:p>
    <w:p w:rsidR="007B1BF8" w:rsidRDefault="00717362" w:rsidP="000323F0">
      <w:pPr>
        <w:numPr>
          <w:ilvl w:val="0"/>
          <w:numId w:val="1"/>
        </w:numPr>
        <w:spacing w:before="172" w:after="0" w:line="360" w:lineRule="auto"/>
        <w:ind w:left="851" w:right="108"/>
        <w:jc w:val="both"/>
        <w:rPr>
          <w:rFonts w:ascii="Museo Sans 300" w:eastAsia="Calibri" w:hAnsi="Museo Sans 300" w:cs="Calibri Light"/>
        </w:rPr>
      </w:pPr>
      <w:r w:rsidRPr="00717362">
        <w:rPr>
          <w:rFonts w:ascii="Museo Sans 300" w:eastAsia="Calibri" w:hAnsi="Museo Sans 300" w:cs="Calibri Light"/>
        </w:rPr>
        <w:t xml:space="preserve">Concédase la información requerida por </w:t>
      </w:r>
      <w:bookmarkStart w:id="0" w:name="_GoBack"/>
      <w:bookmarkEnd w:id="0"/>
      <w:r w:rsidRPr="00717362">
        <w:rPr>
          <w:rFonts w:ascii="Museo Sans 300" w:eastAsia="Calibri" w:hAnsi="Museo Sans 300" w:cs="Calibri Light"/>
        </w:rPr>
        <w:t>conforme a lo solicitado.</w:t>
      </w:r>
    </w:p>
    <w:p w:rsidR="007B1BF8" w:rsidRPr="007B1BF8" w:rsidRDefault="007B1BF8" w:rsidP="000323F0">
      <w:pPr>
        <w:spacing w:before="172" w:after="0" w:line="360" w:lineRule="auto"/>
        <w:ind w:left="851" w:right="108"/>
        <w:jc w:val="both"/>
        <w:rPr>
          <w:rFonts w:ascii="Museo Sans 300" w:eastAsia="Calibri" w:hAnsi="Museo Sans 300" w:cs="Calibri Light"/>
        </w:rPr>
      </w:pPr>
    </w:p>
    <w:p w:rsidR="000323F0" w:rsidRPr="00172E67" w:rsidRDefault="007B1BF8" w:rsidP="00172E67">
      <w:pPr>
        <w:numPr>
          <w:ilvl w:val="0"/>
          <w:numId w:val="1"/>
        </w:numPr>
        <w:spacing w:line="360" w:lineRule="auto"/>
        <w:ind w:left="851"/>
        <w:jc w:val="both"/>
        <w:rPr>
          <w:rFonts w:ascii="Museo Sans 300" w:eastAsia="Calibri" w:hAnsi="Museo Sans 300" w:cs="Calibri Light"/>
        </w:rPr>
      </w:pPr>
      <w:r>
        <w:rPr>
          <w:rFonts w:ascii="Museo Sans 300" w:eastAsia="Calibri" w:hAnsi="Museo Sans 300" w:cs="Calibri Light"/>
        </w:rPr>
        <w:t xml:space="preserve">Indíquesele al solicitante que, la información </w:t>
      </w:r>
      <w:r w:rsidR="00212ED2">
        <w:rPr>
          <w:rFonts w:ascii="Museo Sans 300" w:eastAsia="Calibri" w:hAnsi="Museo Sans 300" w:cs="Calibri Light"/>
        </w:rPr>
        <w:t xml:space="preserve">financiera en el </w:t>
      </w:r>
      <w:r w:rsidR="008F7307">
        <w:rPr>
          <w:rFonts w:ascii="Museo Sans 300" w:eastAsia="Calibri" w:hAnsi="Museo Sans 300" w:cs="Calibri Light"/>
        </w:rPr>
        <w:t xml:space="preserve">literal b) </w:t>
      </w:r>
      <w:r>
        <w:rPr>
          <w:rFonts w:ascii="Museo Sans 300" w:eastAsia="Calibri" w:hAnsi="Museo Sans 300" w:cs="Calibri Light"/>
        </w:rPr>
        <w:t>de</w:t>
      </w:r>
      <w:r w:rsidR="008F7307">
        <w:rPr>
          <w:rFonts w:ascii="Museo Sans 300" w:eastAsia="Calibri" w:hAnsi="Museo Sans 300" w:cs="Calibri Light"/>
        </w:rPr>
        <w:t xml:space="preserve"> su</w:t>
      </w:r>
      <w:r>
        <w:rPr>
          <w:rFonts w:ascii="Museo Sans 300" w:eastAsia="Calibri" w:hAnsi="Museo Sans 300" w:cs="Calibri Light"/>
        </w:rPr>
        <w:t xml:space="preserve"> solicitud de información puede ser consultado en el portal de transparencia de CEPA, accediendo al mismo, a través de la dirección electrónica </w:t>
      </w:r>
      <w:hyperlink r:id="rId7" w:history="1">
        <w:r>
          <w:rPr>
            <w:rStyle w:val="Hipervnculo"/>
          </w:rPr>
          <w:t>https://www.transparencia.gob.sv/institutions/cepa</w:t>
        </w:r>
      </w:hyperlink>
      <w:r>
        <w:t xml:space="preserve"> </w:t>
      </w:r>
      <w:r w:rsidRPr="008F7307">
        <w:rPr>
          <w:rFonts w:ascii="Museo Sans 300" w:hAnsi="Museo Sans 300"/>
        </w:rPr>
        <w:t>en el índice del lado izquierdo en la p</w:t>
      </w:r>
      <w:r w:rsidR="008F7307">
        <w:rPr>
          <w:rFonts w:ascii="Museo Sans 300" w:hAnsi="Museo Sans 300"/>
        </w:rPr>
        <w:t>antalla en “MARCO PRESUPUESTARIO</w:t>
      </w:r>
      <w:r w:rsidRPr="008F7307">
        <w:rPr>
          <w:rFonts w:ascii="Museo Sans 300" w:hAnsi="Museo Sans 300"/>
        </w:rPr>
        <w:t xml:space="preserve">” se encuentra el botón de </w:t>
      </w:r>
      <w:r w:rsidR="008F7307">
        <w:rPr>
          <w:rFonts w:ascii="Museo Sans 300" w:hAnsi="Museo Sans 300"/>
        </w:rPr>
        <w:t>“Estados Financieros</w:t>
      </w:r>
      <w:r w:rsidRPr="008F7307">
        <w:rPr>
          <w:rFonts w:ascii="Museo Sans 300" w:hAnsi="Museo Sans 300"/>
        </w:rPr>
        <w:t>” pulsarlo y al acceder al sitio, en el buscador deberá indicarse el paráme</w:t>
      </w:r>
      <w:r w:rsidR="008F7307">
        <w:rPr>
          <w:rFonts w:ascii="Museo Sans 300" w:hAnsi="Museo Sans 300"/>
        </w:rPr>
        <w:t xml:space="preserve">tro de búsqueda “Estado de rendimiento </w:t>
      </w:r>
      <w:r w:rsidR="000323F0">
        <w:rPr>
          <w:rFonts w:ascii="Museo Sans 300" w:hAnsi="Museo Sans 300"/>
        </w:rPr>
        <w:t>económico</w:t>
      </w:r>
      <w:r w:rsidRPr="008F7307">
        <w:rPr>
          <w:rFonts w:ascii="Museo Sans 300" w:hAnsi="Museo Sans 300"/>
        </w:rPr>
        <w:t xml:space="preserve">” </w:t>
      </w:r>
      <w:r w:rsidR="000323F0">
        <w:rPr>
          <w:rFonts w:ascii="Museo Sans 300" w:hAnsi="Museo Sans 300"/>
        </w:rPr>
        <w:t xml:space="preserve">publicados en fecha veintisiete de febrero de dos mil veinte. </w:t>
      </w:r>
      <w:r w:rsidRPr="008F7307">
        <w:rPr>
          <w:rFonts w:ascii="Museo Sans 300" w:hAnsi="Museo Sans 300"/>
        </w:rPr>
        <w:t xml:space="preserve">Posteriormente aparecerán </w:t>
      </w:r>
      <w:r w:rsidR="008F7307">
        <w:rPr>
          <w:rFonts w:ascii="Museo Sans 300" w:hAnsi="Museo Sans 300"/>
        </w:rPr>
        <w:t xml:space="preserve">los estados de </w:t>
      </w:r>
      <w:r w:rsidR="000323F0">
        <w:rPr>
          <w:rFonts w:ascii="Museo Sans 300" w:hAnsi="Museo Sans 300"/>
        </w:rPr>
        <w:t>rendimiento económico del último año.</w:t>
      </w:r>
      <w:r w:rsidRPr="008F7307">
        <w:rPr>
          <w:rFonts w:ascii="Museo Sans 300" w:eastAsiaTheme="minorEastAsia" w:hAnsi="Museo Sans 300" w:cstheme="majorHAnsi"/>
          <w:lang w:eastAsia="es-ES"/>
        </w:rPr>
        <w:tab/>
      </w:r>
    </w:p>
    <w:p w:rsidR="000323F0" w:rsidRPr="00717362" w:rsidRDefault="000323F0" w:rsidP="00717362">
      <w:pPr>
        <w:spacing w:line="276" w:lineRule="auto"/>
        <w:rPr>
          <w:rFonts w:ascii="Museo Sans 300" w:eastAsia="Calibri" w:hAnsi="Museo Sans 300" w:cs="Calibri Light"/>
        </w:rPr>
      </w:pPr>
    </w:p>
    <w:p w:rsidR="00717362" w:rsidRPr="00717362" w:rsidRDefault="00717362" w:rsidP="00717362">
      <w:pPr>
        <w:spacing w:before="172" w:after="0" w:line="276" w:lineRule="auto"/>
        <w:ind w:right="108"/>
        <w:jc w:val="both"/>
        <w:rPr>
          <w:rFonts w:ascii="Museo Sans 300" w:eastAsia="Times New Roman" w:hAnsi="Museo Sans 300" w:cs="Calibri Light"/>
          <w:b/>
          <w:i/>
          <w:lang w:eastAsia="es-ES"/>
        </w:rPr>
      </w:pPr>
      <w:r w:rsidRPr="00717362">
        <w:rPr>
          <w:rFonts w:ascii="Museo Sans 300" w:eastAsia="Times New Roman" w:hAnsi="Museo Sans 300" w:cs="Calibri Light"/>
          <w:b/>
          <w:i/>
          <w:lang w:eastAsia="es-ES"/>
        </w:rPr>
        <w:t>Notifíquese. -</w:t>
      </w:r>
    </w:p>
    <w:p w:rsidR="00717362" w:rsidRPr="00717362" w:rsidRDefault="00717362" w:rsidP="00717362">
      <w:pPr>
        <w:spacing w:before="172" w:after="0" w:line="276" w:lineRule="auto"/>
        <w:ind w:right="108"/>
        <w:jc w:val="both"/>
        <w:rPr>
          <w:rFonts w:ascii="Museo 300" w:eastAsia="Times New Roman" w:hAnsi="Museo 300" w:cs="Calibri Light"/>
          <w:sz w:val="18"/>
          <w:szCs w:val="18"/>
          <w:lang w:eastAsia="es-ES"/>
        </w:rPr>
      </w:pPr>
    </w:p>
    <w:p w:rsidR="00717362" w:rsidRPr="00717362" w:rsidRDefault="00717362" w:rsidP="00717362">
      <w:pPr>
        <w:spacing w:before="172" w:after="0" w:line="276" w:lineRule="auto"/>
        <w:ind w:right="108"/>
        <w:jc w:val="both"/>
        <w:rPr>
          <w:rFonts w:ascii="Museo 300" w:eastAsia="Times New Roman" w:hAnsi="Museo 300" w:cs="Calibri Light"/>
          <w:sz w:val="18"/>
          <w:szCs w:val="18"/>
          <w:lang w:eastAsia="es-ES"/>
        </w:rPr>
      </w:pPr>
    </w:p>
    <w:p w:rsidR="00717362" w:rsidRPr="00717362" w:rsidRDefault="00717362" w:rsidP="00717362">
      <w:pPr>
        <w:spacing w:before="172" w:after="0" w:line="276" w:lineRule="auto"/>
        <w:ind w:right="108"/>
        <w:jc w:val="both"/>
        <w:rPr>
          <w:rFonts w:ascii="Museo 300" w:eastAsia="Times New Roman" w:hAnsi="Museo 300" w:cs="Calibri Light"/>
          <w:sz w:val="18"/>
          <w:szCs w:val="18"/>
          <w:lang w:eastAsia="es-ES"/>
        </w:rPr>
      </w:pPr>
      <w:r w:rsidRPr="00717362">
        <w:rPr>
          <w:rFonts w:ascii="Museo 300" w:eastAsia="Times New Roman" w:hAnsi="Museo 300" w:cs="Calibri Light"/>
          <w:sz w:val="18"/>
          <w:szCs w:val="18"/>
          <w:lang w:eastAsia="es-ES"/>
        </w:rPr>
        <w:t xml:space="preserve">Se informa que podrá consultar información pública en el Portal de Transparencia, accediendo a la página Web </w:t>
      </w:r>
      <w:r w:rsidRPr="00717362">
        <w:rPr>
          <w:rFonts w:ascii="Museo 300" w:eastAsia="Times New Roman" w:hAnsi="Museo 300" w:cs="Calibri Light"/>
          <w:color w:val="0563C1"/>
          <w:sz w:val="18"/>
          <w:szCs w:val="18"/>
          <w:u w:val="single"/>
          <w:lang w:eastAsia="es-ES"/>
        </w:rPr>
        <w:t>http://www.transparencia.gob.sv,</w:t>
      </w:r>
      <w:r w:rsidRPr="00717362">
        <w:rPr>
          <w:rFonts w:ascii="Museo 300" w:eastAsia="Times New Roman" w:hAnsi="Museo 300" w:cs="Calibri Light"/>
          <w:sz w:val="18"/>
          <w:szCs w:val="18"/>
          <w:lang w:eastAsia="es-ES"/>
        </w:rPr>
        <w:t xml:space="preserve"> mediante “Comisión Ejecutiva Portuaria Autónoma”.</w:t>
      </w:r>
    </w:p>
    <w:p w:rsidR="00717362" w:rsidRPr="00717362" w:rsidRDefault="00717362" w:rsidP="00717362">
      <w:pPr>
        <w:tabs>
          <w:tab w:val="left" w:pos="5633"/>
        </w:tabs>
        <w:spacing w:before="172" w:after="0" w:line="276" w:lineRule="auto"/>
        <w:ind w:left="720"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717362" w:rsidRPr="00717362" w:rsidRDefault="00717362" w:rsidP="00717362">
      <w:pPr>
        <w:spacing w:before="172" w:after="0" w:line="24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717362" w:rsidRPr="00717362" w:rsidRDefault="00717362" w:rsidP="00717362">
      <w:pPr>
        <w:spacing w:before="172" w:after="0" w:line="24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717362" w:rsidRPr="00717362" w:rsidRDefault="00717362" w:rsidP="00717362">
      <w:pPr>
        <w:spacing w:before="172" w:after="0" w:line="24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717362" w:rsidRPr="00717362" w:rsidRDefault="00717362" w:rsidP="00717362">
      <w:pPr>
        <w:spacing w:before="172" w:after="0" w:line="24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717362" w:rsidRPr="00717362" w:rsidRDefault="00717362" w:rsidP="00717362">
      <w:pPr>
        <w:spacing w:after="0" w:line="240" w:lineRule="auto"/>
        <w:ind w:left="2832" w:right="108"/>
        <w:jc w:val="both"/>
        <w:rPr>
          <w:rFonts w:ascii="Museo Sans 300" w:eastAsia="Times New Roman" w:hAnsi="Museo Sans 300" w:cs="Calibri Light"/>
          <w:sz w:val="24"/>
          <w:szCs w:val="24"/>
          <w:lang w:eastAsia="es-ES"/>
        </w:rPr>
      </w:pPr>
      <w:r w:rsidRPr="00717362">
        <w:rPr>
          <w:rFonts w:ascii="Museo Sans 300" w:eastAsia="Times New Roman" w:hAnsi="Museo Sans 300" w:cs="Calibri Light"/>
          <w:sz w:val="24"/>
          <w:szCs w:val="24"/>
          <w:lang w:eastAsia="es-ES"/>
        </w:rPr>
        <w:t>Ricardo Alfonso Alas Hernández</w:t>
      </w:r>
    </w:p>
    <w:p w:rsidR="00717362" w:rsidRPr="00717362" w:rsidRDefault="00717362" w:rsidP="00717362">
      <w:pPr>
        <w:spacing w:after="0" w:line="240" w:lineRule="auto"/>
        <w:ind w:right="108"/>
        <w:jc w:val="center"/>
        <w:rPr>
          <w:rFonts w:ascii="Museo Sans 300" w:eastAsia="Calibri" w:hAnsi="Museo Sans 300" w:cs="Times New Roman"/>
        </w:rPr>
      </w:pPr>
      <w:r w:rsidRPr="00717362">
        <w:rPr>
          <w:rFonts w:ascii="Museo Sans 300" w:eastAsia="Times New Roman" w:hAnsi="Museo Sans 300" w:cs="Calibri Light"/>
          <w:sz w:val="24"/>
          <w:szCs w:val="24"/>
          <w:lang w:eastAsia="es-ES"/>
        </w:rPr>
        <w:t>Oficial de Información.</w:t>
      </w:r>
    </w:p>
    <w:p w:rsidR="001E4113" w:rsidRDefault="00881F70"/>
    <w:sectPr w:rsidR="001E4113" w:rsidSect="008B7517">
      <w:headerReference w:type="default" r:id="rId8"/>
      <w:footerReference w:type="default" r:id="rId9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06" w:rsidRDefault="00212ED2">
      <w:pPr>
        <w:spacing w:after="0" w:line="240" w:lineRule="auto"/>
      </w:pPr>
      <w:r>
        <w:separator/>
      </w:r>
    </w:p>
  </w:endnote>
  <w:endnote w:type="continuationSeparator" w:id="0">
    <w:p w:rsidR="009C6106" w:rsidRDefault="0021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F71578" w:rsidRDefault="00DE4AFD" w:rsidP="00842737">
    <w:pPr>
      <w:pStyle w:val="Piedepgina"/>
      <w:tabs>
        <w:tab w:val="left" w:pos="611"/>
        <w:tab w:val="center" w:pos="4986"/>
      </w:tabs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06" w:rsidRDefault="00212ED2">
      <w:pPr>
        <w:spacing w:after="0" w:line="240" w:lineRule="auto"/>
      </w:pPr>
      <w:r>
        <w:separator/>
      </w:r>
    </w:p>
  </w:footnote>
  <w:footnote w:type="continuationSeparator" w:id="0">
    <w:p w:rsidR="009C6106" w:rsidRDefault="0021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847FBB" w:rsidRDefault="00DE4AFD" w:rsidP="00847FBB">
    <w:pPr>
      <w:pStyle w:val="Encabezado"/>
    </w:pPr>
    <w:r w:rsidRPr="00847FBB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52C0746E" wp14:editId="3C3F74DB">
          <wp:simplePos x="0" y="0"/>
          <wp:positionH relativeFrom="column">
            <wp:posOffset>-789940</wp:posOffset>
          </wp:positionH>
          <wp:positionV relativeFrom="paragraph">
            <wp:posOffset>-234315</wp:posOffset>
          </wp:positionV>
          <wp:extent cx="7940675" cy="9944100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3"/>
                  <a:stretch>
                    <a:fillRect/>
                  </a:stretch>
                </pic:blipFill>
                <pic:spPr>
                  <a:xfrm>
                    <a:off x="0" y="0"/>
                    <a:ext cx="7934325" cy="994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0DC"/>
    <w:multiLevelType w:val="hybridMultilevel"/>
    <w:tmpl w:val="D3C4AA60"/>
    <w:lvl w:ilvl="0" w:tplc="440A0017">
      <w:start w:val="1"/>
      <w:numFmt w:val="lowerLetter"/>
      <w:lvlText w:val="%1)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EC0812"/>
    <w:multiLevelType w:val="hybridMultilevel"/>
    <w:tmpl w:val="A31C172A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52EA4"/>
    <w:multiLevelType w:val="hybridMultilevel"/>
    <w:tmpl w:val="D806DCE4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5722C0"/>
    <w:multiLevelType w:val="hybridMultilevel"/>
    <w:tmpl w:val="D0165DE0"/>
    <w:lvl w:ilvl="0" w:tplc="440A001B">
      <w:start w:val="1"/>
      <w:numFmt w:val="lowerRoman"/>
      <w:lvlText w:val="%1."/>
      <w:lvlJc w:val="right"/>
      <w:pPr>
        <w:ind w:left="2148" w:hanging="360"/>
      </w:pPr>
    </w:lvl>
    <w:lvl w:ilvl="1" w:tplc="440A0019" w:tentative="1">
      <w:start w:val="1"/>
      <w:numFmt w:val="lowerLetter"/>
      <w:lvlText w:val="%2."/>
      <w:lvlJc w:val="left"/>
      <w:pPr>
        <w:ind w:left="2868" w:hanging="360"/>
      </w:pPr>
    </w:lvl>
    <w:lvl w:ilvl="2" w:tplc="440A001B" w:tentative="1">
      <w:start w:val="1"/>
      <w:numFmt w:val="lowerRoman"/>
      <w:lvlText w:val="%3."/>
      <w:lvlJc w:val="right"/>
      <w:pPr>
        <w:ind w:left="3588" w:hanging="180"/>
      </w:pPr>
    </w:lvl>
    <w:lvl w:ilvl="3" w:tplc="440A000F" w:tentative="1">
      <w:start w:val="1"/>
      <w:numFmt w:val="decimal"/>
      <w:lvlText w:val="%4."/>
      <w:lvlJc w:val="left"/>
      <w:pPr>
        <w:ind w:left="4308" w:hanging="360"/>
      </w:pPr>
    </w:lvl>
    <w:lvl w:ilvl="4" w:tplc="440A0019" w:tentative="1">
      <w:start w:val="1"/>
      <w:numFmt w:val="lowerLetter"/>
      <w:lvlText w:val="%5."/>
      <w:lvlJc w:val="left"/>
      <w:pPr>
        <w:ind w:left="5028" w:hanging="360"/>
      </w:pPr>
    </w:lvl>
    <w:lvl w:ilvl="5" w:tplc="440A001B" w:tentative="1">
      <w:start w:val="1"/>
      <w:numFmt w:val="lowerRoman"/>
      <w:lvlText w:val="%6."/>
      <w:lvlJc w:val="right"/>
      <w:pPr>
        <w:ind w:left="5748" w:hanging="180"/>
      </w:pPr>
    </w:lvl>
    <w:lvl w:ilvl="6" w:tplc="440A000F" w:tentative="1">
      <w:start w:val="1"/>
      <w:numFmt w:val="decimal"/>
      <w:lvlText w:val="%7."/>
      <w:lvlJc w:val="left"/>
      <w:pPr>
        <w:ind w:left="6468" w:hanging="360"/>
      </w:pPr>
    </w:lvl>
    <w:lvl w:ilvl="7" w:tplc="440A0019" w:tentative="1">
      <w:start w:val="1"/>
      <w:numFmt w:val="lowerLetter"/>
      <w:lvlText w:val="%8."/>
      <w:lvlJc w:val="left"/>
      <w:pPr>
        <w:ind w:left="7188" w:hanging="360"/>
      </w:pPr>
    </w:lvl>
    <w:lvl w:ilvl="8" w:tplc="4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1EC4F75"/>
    <w:multiLevelType w:val="hybridMultilevel"/>
    <w:tmpl w:val="E0BC0818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1B5CD5"/>
    <w:multiLevelType w:val="hybridMultilevel"/>
    <w:tmpl w:val="53E61FE8"/>
    <w:lvl w:ilvl="0" w:tplc="440A001B">
      <w:start w:val="1"/>
      <w:numFmt w:val="lowerRoman"/>
      <w:lvlText w:val="%1."/>
      <w:lvlJc w:val="right"/>
      <w:pPr>
        <w:ind w:left="2148" w:hanging="360"/>
      </w:pPr>
    </w:lvl>
    <w:lvl w:ilvl="1" w:tplc="440A0019" w:tentative="1">
      <w:start w:val="1"/>
      <w:numFmt w:val="lowerLetter"/>
      <w:lvlText w:val="%2."/>
      <w:lvlJc w:val="left"/>
      <w:pPr>
        <w:ind w:left="2868" w:hanging="360"/>
      </w:pPr>
    </w:lvl>
    <w:lvl w:ilvl="2" w:tplc="440A001B" w:tentative="1">
      <w:start w:val="1"/>
      <w:numFmt w:val="lowerRoman"/>
      <w:lvlText w:val="%3."/>
      <w:lvlJc w:val="right"/>
      <w:pPr>
        <w:ind w:left="3588" w:hanging="180"/>
      </w:pPr>
    </w:lvl>
    <w:lvl w:ilvl="3" w:tplc="440A000F" w:tentative="1">
      <w:start w:val="1"/>
      <w:numFmt w:val="decimal"/>
      <w:lvlText w:val="%4."/>
      <w:lvlJc w:val="left"/>
      <w:pPr>
        <w:ind w:left="4308" w:hanging="360"/>
      </w:pPr>
    </w:lvl>
    <w:lvl w:ilvl="4" w:tplc="440A0019" w:tentative="1">
      <w:start w:val="1"/>
      <w:numFmt w:val="lowerLetter"/>
      <w:lvlText w:val="%5."/>
      <w:lvlJc w:val="left"/>
      <w:pPr>
        <w:ind w:left="5028" w:hanging="360"/>
      </w:pPr>
    </w:lvl>
    <w:lvl w:ilvl="5" w:tplc="440A001B" w:tentative="1">
      <w:start w:val="1"/>
      <w:numFmt w:val="lowerRoman"/>
      <w:lvlText w:val="%6."/>
      <w:lvlJc w:val="right"/>
      <w:pPr>
        <w:ind w:left="5748" w:hanging="180"/>
      </w:pPr>
    </w:lvl>
    <w:lvl w:ilvl="6" w:tplc="440A000F" w:tentative="1">
      <w:start w:val="1"/>
      <w:numFmt w:val="decimal"/>
      <w:lvlText w:val="%7."/>
      <w:lvlJc w:val="left"/>
      <w:pPr>
        <w:ind w:left="6468" w:hanging="360"/>
      </w:pPr>
    </w:lvl>
    <w:lvl w:ilvl="7" w:tplc="440A0019" w:tentative="1">
      <w:start w:val="1"/>
      <w:numFmt w:val="lowerLetter"/>
      <w:lvlText w:val="%8."/>
      <w:lvlJc w:val="left"/>
      <w:pPr>
        <w:ind w:left="7188" w:hanging="360"/>
      </w:pPr>
    </w:lvl>
    <w:lvl w:ilvl="8" w:tplc="4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1D3F223A"/>
    <w:multiLevelType w:val="hybridMultilevel"/>
    <w:tmpl w:val="F21CC652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FF3545"/>
    <w:multiLevelType w:val="hybridMultilevel"/>
    <w:tmpl w:val="C27C93A4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406E88"/>
    <w:multiLevelType w:val="hybridMultilevel"/>
    <w:tmpl w:val="680C0C0C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666437"/>
    <w:multiLevelType w:val="hybridMultilevel"/>
    <w:tmpl w:val="D3C4AA60"/>
    <w:lvl w:ilvl="0" w:tplc="440A0017">
      <w:start w:val="1"/>
      <w:numFmt w:val="lowerLetter"/>
      <w:lvlText w:val="%1)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B23F01"/>
    <w:multiLevelType w:val="hybridMultilevel"/>
    <w:tmpl w:val="954AC94E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8C1BA1"/>
    <w:multiLevelType w:val="hybridMultilevel"/>
    <w:tmpl w:val="803024A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5561C"/>
    <w:multiLevelType w:val="hybridMultilevel"/>
    <w:tmpl w:val="6E5E933A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AE57D77"/>
    <w:multiLevelType w:val="hybridMultilevel"/>
    <w:tmpl w:val="0CA8F148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4771689"/>
    <w:multiLevelType w:val="hybridMultilevel"/>
    <w:tmpl w:val="D806DCE4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61121B8"/>
    <w:multiLevelType w:val="hybridMultilevel"/>
    <w:tmpl w:val="FB547028"/>
    <w:lvl w:ilvl="0" w:tplc="82CC364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0F27EBE"/>
    <w:multiLevelType w:val="hybridMultilevel"/>
    <w:tmpl w:val="116CE3F6"/>
    <w:lvl w:ilvl="0" w:tplc="440A001B">
      <w:start w:val="1"/>
      <w:numFmt w:val="lowerRoman"/>
      <w:lvlText w:val="%1."/>
      <w:lvlJc w:val="right"/>
      <w:pPr>
        <w:ind w:left="2148" w:hanging="360"/>
      </w:pPr>
    </w:lvl>
    <w:lvl w:ilvl="1" w:tplc="440A0019" w:tentative="1">
      <w:start w:val="1"/>
      <w:numFmt w:val="lowerLetter"/>
      <w:lvlText w:val="%2."/>
      <w:lvlJc w:val="left"/>
      <w:pPr>
        <w:ind w:left="2868" w:hanging="360"/>
      </w:pPr>
    </w:lvl>
    <w:lvl w:ilvl="2" w:tplc="440A001B" w:tentative="1">
      <w:start w:val="1"/>
      <w:numFmt w:val="lowerRoman"/>
      <w:lvlText w:val="%3."/>
      <w:lvlJc w:val="right"/>
      <w:pPr>
        <w:ind w:left="3588" w:hanging="180"/>
      </w:pPr>
    </w:lvl>
    <w:lvl w:ilvl="3" w:tplc="440A000F" w:tentative="1">
      <w:start w:val="1"/>
      <w:numFmt w:val="decimal"/>
      <w:lvlText w:val="%4."/>
      <w:lvlJc w:val="left"/>
      <w:pPr>
        <w:ind w:left="4308" w:hanging="360"/>
      </w:pPr>
    </w:lvl>
    <w:lvl w:ilvl="4" w:tplc="440A0019" w:tentative="1">
      <w:start w:val="1"/>
      <w:numFmt w:val="lowerLetter"/>
      <w:lvlText w:val="%5."/>
      <w:lvlJc w:val="left"/>
      <w:pPr>
        <w:ind w:left="5028" w:hanging="360"/>
      </w:pPr>
    </w:lvl>
    <w:lvl w:ilvl="5" w:tplc="440A001B" w:tentative="1">
      <w:start w:val="1"/>
      <w:numFmt w:val="lowerRoman"/>
      <w:lvlText w:val="%6."/>
      <w:lvlJc w:val="right"/>
      <w:pPr>
        <w:ind w:left="5748" w:hanging="180"/>
      </w:pPr>
    </w:lvl>
    <w:lvl w:ilvl="6" w:tplc="440A000F" w:tentative="1">
      <w:start w:val="1"/>
      <w:numFmt w:val="decimal"/>
      <w:lvlText w:val="%7."/>
      <w:lvlJc w:val="left"/>
      <w:pPr>
        <w:ind w:left="6468" w:hanging="360"/>
      </w:pPr>
    </w:lvl>
    <w:lvl w:ilvl="7" w:tplc="440A0019" w:tentative="1">
      <w:start w:val="1"/>
      <w:numFmt w:val="lowerLetter"/>
      <w:lvlText w:val="%8."/>
      <w:lvlJc w:val="left"/>
      <w:pPr>
        <w:ind w:left="7188" w:hanging="360"/>
      </w:pPr>
    </w:lvl>
    <w:lvl w:ilvl="8" w:tplc="4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72920DDE"/>
    <w:multiLevelType w:val="hybridMultilevel"/>
    <w:tmpl w:val="680C0C0C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1E7214"/>
    <w:multiLevelType w:val="hybridMultilevel"/>
    <w:tmpl w:val="D0165DE0"/>
    <w:lvl w:ilvl="0" w:tplc="440A001B">
      <w:start w:val="1"/>
      <w:numFmt w:val="lowerRoman"/>
      <w:lvlText w:val="%1."/>
      <w:lvlJc w:val="right"/>
      <w:pPr>
        <w:ind w:left="2148" w:hanging="360"/>
      </w:pPr>
    </w:lvl>
    <w:lvl w:ilvl="1" w:tplc="440A0019" w:tentative="1">
      <w:start w:val="1"/>
      <w:numFmt w:val="lowerLetter"/>
      <w:lvlText w:val="%2."/>
      <w:lvlJc w:val="left"/>
      <w:pPr>
        <w:ind w:left="2868" w:hanging="360"/>
      </w:pPr>
    </w:lvl>
    <w:lvl w:ilvl="2" w:tplc="440A001B" w:tentative="1">
      <w:start w:val="1"/>
      <w:numFmt w:val="lowerRoman"/>
      <w:lvlText w:val="%3."/>
      <w:lvlJc w:val="right"/>
      <w:pPr>
        <w:ind w:left="3588" w:hanging="180"/>
      </w:pPr>
    </w:lvl>
    <w:lvl w:ilvl="3" w:tplc="440A000F" w:tentative="1">
      <w:start w:val="1"/>
      <w:numFmt w:val="decimal"/>
      <w:lvlText w:val="%4."/>
      <w:lvlJc w:val="left"/>
      <w:pPr>
        <w:ind w:left="4308" w:hanging="360"/>
      </w:pPr>
    </w:lvl>
    <w:lvl w:ilvl="4" w:tplc="440A0019" w:tentative="1">
      <w:start w:val="1"/>
      <w:numFmt w:val="lowerLetter"/>
      <w:lvlText w:val="%5."/>
      <w:lvlJc w:val="left"/>
      <w:pPr>
        <w:ind w:left="5028" w:hanging="360"/>
      </w:pPr>
    </w:lvl>
    <w:lvl w:ilvl="5" w:tplc="440A001B" w:tentative="1">
      <w:start w:val="1"/>
      <w:numFmt w:val="lowerRoman"/>
      <w:lvlText w:val="%6."/>
      <w:lvlJc w:val="right"/>
      <w:pPr>
        <w:ind w:left="5748" w:hanging="180"/>
      </w:pPr>
    </w:lvl>
    <w:lvl w:ilvl="6" w:tplc="440A000F" w:tentative="1">
      <w:start w:val="1"/>
      <w:numFmt w:val="decimal"/>
      <w:lvlText w:val="%7."/>
      <w:lvlJc w:val="left"/>
      <w:pPr>
        <w:ind w:left="6468" w:hanging="360"/>
      </w:pPr>
    </w:lvl>
    <w:lvl w:ilvl="7" w:tplc="440A0019" w:tentative="1">
      <w:start w:val="1"/>
      <w:numFmt w:val="lowerLetter"/>
      <w:lvlText w:val="%8."/>
      <w:lvlJc w:val="left"/>
      <w:pPr>
        <w:ind w:left="7188" w:hanging="360"/>
      </w:pPr>
    </w:lvl>
    <w:lvl w:ilvl="8" w:tplc="4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75434CB9"/>
    <w:multiLevelType w:val="hybridMultilevel"/>
    <w:tmpl w:val="1B6448F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70DD1"/>
    <w:multiLevelType w:val="hybridMultilevel"/>
    <w:tmpl w:val="EC02BA14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670F2E"/>
    <w:multiLevelType w:val="hybridMultilevel"/>
    <w:tmpl w:val="F232FA42"/>
    <w:lvl w:ilvl="0" w:tplc="440A001B">
      <w:start w:val="1"/>
      <w:numFmt w:val="lowerRoman"/>
      <w:lvlText w:val="%1."/>
      <w:lvlJc w:val="righ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F03788D"/>
    <w:multiLevelType w:val="hybridMultilevel"/>
    <w:tmpl w:val="93C0C11E"/>
    <w:lvl w:ilvl="0" w:tplc="27707CBE">
      <w:start w:val="1"/>
      <w:numFmt w:val="upperRoman"/>
      <w:lvlText w:val="%1."/>
      <w:lvlJc w:val="right"/>
      <w:pPr>
        <w:ind w:left="1996" w:hanging="360"/>
      </w:pPr>
      <w:rPr>
        <w:rFonts w:hint="default"/>
        <w:b/>
        <w:i w:val="0"/>
      </w:rPr>
    </w:lvl>
    <w:lvl w:ilvl="1" w:tplc="4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5"/>
  </w:num>
  <w:num w:numId="5">
    <w:abstractNumId w:val="9"/>
  </w:num>
  <w:num w:numId="6">
    <w:abstractNumId w:val="5"/>
  </w:num>
  <w:num w:numId="7">
    <w:abstractNumId w:val="16"/>
  </w:num>
  <w:num w:numId="8">
    <w:abstractNumId w:val="3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21"/>
  </w:num>
  <w:num w:numId="14">
    <w:abstractNumId w:val="7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62"/>
    <w:rsid w:val="000323F0"/>
    <w:rsid w:val="00172E67"/>
    <w:rsid w:val="001B6453"/>
    <w:rsid w:val="00212ED2"/>
    <w:rsid w:val="005B00DF"/>
    <w:rsid w:val="006A1B81"/>
    <w:rsid w:val="00717362"/>
    <w:rsid w:val="007B1BF8"/>
    <w:rsid w:val="00881F70"/>
    <w:rsid w:val="008F7307"/>
    <w:rsid w:val="009C6106"/>
    <w:rsid w:val="009E3DDD"/>
    <w:rsid w:val="00C41962"/>
    <w:rsid w:val="00DC213E"/>
    <w:rsid w:val="00D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111C-A464-4373-BB8D-BD263F3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7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7362"/>
  </w:style>
  <w:style w:type="paragraph" w:styleId="Piedepgina">
    <w:name w:val="footer"/>
    <w:basedOn w:val="Normal"/>
    <w:link w:val="PiedepginaCar"/>
    <w:uiPriority w:val="99"/>
    <w:semiHidden/>
    <w:unhideWhenUsed/>
    <w:rsid w:val="00717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362"/>
  </w:style>
  <w:style w:type="paragraph" w:styleId="Prrafodelista">
    <w:name w:val="List Paragraph"/>
    <w:basedOn w:val="Normal"/>
    <w:uiPriority w:val="34"/>
    <w:qFormat/>
    <w:rsid w:val="007B1BF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B1B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parencia.gob.sv/institutions/ce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Ejecutiva Portuaria Autonoma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Alfonso Alas Hernandez</dc:creator>
  <cp:keywords/>
  <dc:description/>
  <cp:lastModifiedBy>Sonia Gabriela Hernandez Sermeño</cp:lastModifiedBy>
  <cp:revision>8</cp:revision>
  <cp:lastPrinted>2020-09-11T22:28:00Z</cp:lastPrinted>
  <dcterms:created xsi:type="dcterms:W3CDTF">2020-09-11T18:20:00Z</dcterms:created>
  <dcterms:modified xsi:type="dcterms:W3CDTF">2020-10-26T21:52:00Z</dcterms:modified>
</cp:coreProperties>
</file>