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1189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7D14EF" w:rsidRPr="00636F99" w14:paraId="606217FD" w14:textId="77777777" w:rsidTr="007D14EF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0F7FE" w14:textId="77777777" w:rsidR="007D14EF" w:rsidRPr="00636F99" w:rsidRDefault="007D14EF" w:rsidP="00636F99">
            <w:pPr>
              <w:jc w:val="both"/>
              <w:rPr>
                <w:sz w:val="22"/>
                <w:szCs w:val="22"/>
                <w:lang w:val="es-SV"/>
              </w:rPr>
            </w:pPr>
            <w:r w:rsidRPr="00636F99">
              <w:rPr>
                <w:sz w:val="22"/>
                <w:szCs w:val="22"/>
                <w:lang w:val="es-SV"/>
              </w:rPr>
              <w:t>N°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681E5" w14:textId="661C5ED1" w:rsidR="007D14EF" w:rsidRPr="00636F99" w:rsidRDefault="00816764" w:rsidP="00636F99">
            <w:pPr>
              <w:jc w:val="both"/>
              <w:rPr>
                <w:rFonts w:eastAsia="Calibri"/>
                <w:w w:val="102"/>
                <w:sz w:val="22"/>
                <w:szCs w:val="22"/>
                <w:lang w:val="es-SV" w:eastAsia="en-US"/>
              </w:rPr>
            </w:pPr>
            <w:r w:rsidRPr="00636F99">
              <w:rPr>
                <w:rFonts w:eastAsia="Calibri"/>
                <w:w w:val="102"/>
                <w:sz w:val="22"/>
                <w:szCs w:val="22"/>
                <w:lang w:val="es-SV" w:eastAsia="en-US"/>
              </w:rPr>
              <w:t>UAIP/0</w:t>
            </w:r>
            <w:r w:rsidR="006C1CF2" w:rsidRPr="00636F99">
              <w:rPr>
                <w:rFonts w:eastAsia="Calibri"/>
                <w:w w:val="102"/>
                <w:sz w:val="22"/>
                <w:szCs w:val="22"/>
                <w:lang w:val="es-SV" w:eastAsia="en-US"/>
              </w:rPr>
              <w:t>01</w:t>
            </w:r>
            <w:r w:rsidR="00AA4975" w:rsidRPr="00636F99">
              <w:rPr>
                <w:rFonts w:eastAsia="Calibri"/>
                <w:w w:val="102"/>
                <w:sz w:val="22"/>
                <w:szCs w:val="22"/>
                <w:lang w:val="es-SV" w:eastAsia="en-US"/>
              </w:rPr>
              <w:t>6</w:t>
            </w:r>
            <w:r w:rsidR="007D14EF" w:rsidRPr="00636F99">
              <w:rPr>
                <w:rFonts w:eastAsia="Calibri"/>
                <w:w w:val="102"/>
                <w:sz w:val="22"/>
                <w:szCs w:val="22"/>
                <w:lang w:val="es-SV" w:eastAsia="en-US"/>
              </w:rPr>
              <w:t>//2021</w:t>
            </w:r>
          </w:p>
        </w:tc>
      </w:tr>
    </w:tbl>
    <w:p w14:paraId="0C0095F8" w14:textId="48D91726" w:rsidR="005A57A7" w:rsidRPr="00636F99" w:rsidRDefault="005A57A7" w:rsidP="00636F99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  <w:r w:rsidRPr="00636F99">
        <w:rPr>
          <w:rFonts w:eastAsiaTheme="minorHAnsi"/>
          <w:sz w:val="22"/>
          <w:szCs w:val="22"/>
          <w:lang w:val="es-SV" w:eastAsia="en-US"/>
        </w:rPr>
        <w:t xml:space="preserve">LA UNIDAD DE ACCESO A LA INFORMACIÓN PÚBLICA DEL CONSEJO NACIONAL DE LA NIÑEZ Y DE LA ADOLESCENCIA (CONNA): San Salvador, a las </w:t>
      </w:r>
      <w:r w:rsidR="006C1CF2" w:rsidRPr="00636F99">
        <w:rPr>
          <w:rFonts w:eastAsiaTheme="minorHAnsi"/>
          <w:sz w:val="22"/>
          <w:szCs w:val="22"/>
          <w:lang w:val="es-SV" w:eastAsia="en-US"/>
        </w:rPr>
        <w:t xml:space="preserve">ocho </w:t>
      </w:r>
      <w:r w:rsidRPr="00636F99">
        <w:rPr>
          <w:rFonts w:eastAsiaTheme="minorHAnsi"/>
          <w:sz w:val="22"/>
          <w:szCs w:val="22"/>
          <w:lang w:val="es-SV" w:eastAsia="en-US"/>
        </w:rPr>
        <w:t xml:space="preserve">horas </w:t>
      </w:r>
      <w:r w:rsidR="006C1CF2" w:rsidRPr="00636F99">
        <w:rPr>
          <w:rFonts w:eastAsiaTheme="minorHAnsi"/>
          <w:sz w:val="22"/>
          <w:szCs w:val="22"/>
          <w:lang w:val="es-SV" w:eastAsia="en-US"/>
        </w:rPr>
        <w:t xml:space="preserve">quince minutos </w:t>
      </w:r>
      <w:r w:rsidRPr="00636F99">
        <w:rPr>
          <w:rFonts w:eastAsiaTheme="minorHAnsi"/>
          <w:sz w:val="22"/>
          <w:szCs w:val="22"/>
          <w:lang w:val="es-SV" w:eastAsia="en-US"/>
        </w:rPr>
        <w:t xml:space="preserve">del día </w:t>
      </w:r>
      <w:r w:rsidR="00AA4975" w:rsidRPr="00636F99">
        <w:rPr>
          <w:rFonts w:eastAsiaTheme="minorHAnsi"/>
          <w:sz w:val="22"/>
          <w:szCs w:val="22"/>
          <w:lang w:val="es-SV" w:eastAsia="en-US"/>
        </w:rPr>
        <w:t xml:space="preserve">veinte </w:t>
      </w:r>
      <w:r w:rsidR="00076C38" w:rsidRPr="00636F99">
        <w:rPr>
          <w:rFonts w:eastAsiaTheme="minorHAnsi"/>
          <w:sz w:val="22"/>
          <w:szCs w:val="22"/>
          <w:lang w:val="es-SV" w:eastAsia="en-US"/>
        </w:rPr>
        <w:t xml:space="preserve">de </w:t>
      </w:r>
      <w:r w:rsidR="006C1CF2" w:rsidRPr="00636F99">
        <w:rPr>
          <w:rFonts w:eastAsiaTheme="minorHAnsi"/>
          <w:sz w:val="22"/>
          <w:szCs w:val="22"/>
          <w:lang w:val="es-SV" w:eastAsia="en-US"/>
        </w:rPr>
        <w:t xml:space="preserve">mayo </w:t>
      </w:r>
      <w:r w:rsidR="00076C38" w:rsidRPr="00636F99">
        <w:rPr>
          <w:rFonts w:eastAsiaTheme="minorHAnsi"/>
          <w:sz w:val="22"/>
          <w:szCs w:val="22"/>
          <w:lang w:val="es-SV" w:eastAsia="en-US"/>
        </w:rPr>
        <w:t>de dos mil veintiuno</w:t>
      </w:r>
      <w:r w:rsidRPr="00636F99">
        <w:rPr>
          <w:rFonts w:eastAsiaTheme="minorHAnsi"/>
          <w:sz w:val="22"/>
          <w:szCs w:val="22"/>
          <w:lang w:val="es-SV" w:eastAsia="en-US"/>
        </w:rPr>
        <w:t>.</w:t>
      </w:r>
    </w:p>
    <w:p w14:paraId="0D860804" w14:textId="77777777" w:rsidR="005A57A7" w:rsidRPr="00636F99" w:rsidRDefault="005A57A7" w:rsidP="00636F99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p w14:paraId="5E02F33F" w14:textId="0A6DB641" w:rsidR="0056103E" w:rsidRDefault="00714FFA" w:rsidP="00636F99">
      <w:pPr>
        <w:spacing w:after="0" w:line="240" w:lineRule="auto"/>
        <w:jc w:val="both"/>
        <w:rPr>
          <w:sz w:val="22"/>
          <w:szCs w:val="22"/>
          <w:lang w:val="es-SV"/>
        </w:rPr>
      </w:pPr>
      <w:r w:rsidRPr="00636F99">
        <w:rPr>
          <w:rFonts w:eastAsia="Times New Roman"/>
          <w:color w:val="000000"/>
          <w:sz w:val="22"/>
          <w:szCs w:val="22"/>
          <w:lang w:val="es-SV"/>
        </w:rPr>
        <w:t>El presente expediente, inicia con la solicitud presentada</w:t>
      </w:r>
      <w:r w:rsidR="00D470E4" w:rsidRPr="00636F99">
        <w:rPr>
          <w:rFonts w:eastAsia="Times New Roman"/>
          <w:color w:val="000000"/>
          <w:sz w:val="22"/>
          <w:szCs w:val="22"/>
          <w:lang w:val="es-SV"/>
        </w:rPr>
        <w:t xml:space="preserve"> </w:t>
      </w:r>
      <w:r w:rsidR="00636F99" w:rsidRPr="00636F99">
        <w:rPr>
          <w:rFonts w:eastAsia="Times New Roman"/>
          <w:color w:val="000000"/>
          <w:sz w:val="22"/>
          <w:szCs w:val="22"/>
          <w:lang w:val="es-SV"/>
        </w:rPr>
        <w:t xml:space="preserve">vía correo electrónico </w:t>
      </w:r>
      <w:r w:rsidR="00D470E4" w:rsidRPr="00636F99">
        <w:rPr>
          <w:rFonts w:eastAsia="Times New Roman"/>
          <w:color w:val="000000"/>
          <w:sz w:val="22"/>
          <w:szCs w:val="22"/>
          <w:lang w:val="es-SV"/>
        </w:rPr>
        <w:t xml:space="preserve">el día </w:t>
      </w:r>
      <w:r w:rsidR="00AA4975" w:rsidRPr="00636F99">
        <w:rPr>
          <w:rFonts w:eastAsia="Times New Roman"/>
          <w:color w:val="000000"/>
          <w:sz w:val="22"/>
          <w:szCs w:val="22"/>
          <w:lang w:val="es-SV"/>
        </w:rPr>
        <w:t xml:space="preserve">doce </w:t>
      </w:r>
      <w:r w:rsidR="006C1CF2" w:rsidRPr="00636F99">
        <w:rPr>
          <w:rFonts w:eastAsia="Times New Roman"/>
          <w:color w:val="000000"/>
          <w:sz w:val="22"/>
          <w:szCs w:val="22"/>
          <w:lang w:val="es-SV"/>
        </w:rPr>
        <w:t>de mayo del presente año,</w:t>
      </w:r>
      <w:r w:rsidRPr="00636F99">
        <w:rPr>
          <w:rFonts w:eastAsia="Times New Roman"/>
          <w:color w:val="000000"/>
          <w:sz w:val="22"/>
          <w:szCs w:val="22"/>
          <w:lang w:val="es-SV"/>
        </w:rPr>
        <w:t xml:space="preserve"> a acceso a la información</w:t>
      </w:r>
      <w:r w:rsidR="0056103E" w:rsidRPr="00636F99">
        <w:rPr>
          <w:sz w:val="22"/>
          <w:szCs w:val="22"/>
          <w:lang w:val="es-SV"/>
        </w:rPr>
        <w:t xml:space="preserve">; en la que pide se le conceda la siguiente información: </w:t>
      </w:r>
    </w:p>
    <w:p w14:paraId="2FD1B393" w14:textId="77777777" w:rsidR="00636F99" w:rsidRPr="00636F99" w:rsidRDefault="00636F99" w:rsidP="00636F99">
      <w:pPr>
        <w:spacing w:after="0" w:line="240" w:lineRule="auto"/>
        <w:jc w:val="both"/>
        <w:rPr>
          <w:sz w:val="22"/>
          <w:szCs w:val="22"/>
          <w:lang w:val="es-SV"/>
        </w:rPr>
      </w:pPr>
    </w:p>
    <w:p w14:paraId="66B8D20D" w14:textId="6AA0D35C" w:rsidR="00636F99" w:rsidRDefault="00636F99" w:rsidP="00636F99">
      <w:pPr>
        <w:spacing w:after="0" w:line="240" w:lineRule="auto"/>
        <w:jc w:val="both"/>
        <w:rPr>
          <w:b/>
          <w:color w:val="000000"/>
          <w:sz w:val="22"/>
          <w:szCs w:val="22"/>
          <w:lang w:val="es-SV"/>
        </w:rPr>
      </w:pPr>
      <w:r w:rsidRPr="00636F99">
        <w:rPr>
          <w:b/>
          <w:color w:val="000000"/>
          <w:sz w:val="22"/>
          <w:szCs w:val="22"/>
          <w:lang w:val="es-SV"/>
        </w:rPr>
        <w:t>“””</w:t>
      </w:r>
      <w:r w:rsidRPr="00636F99">
        <w:rPr>
          <w:b/>
          <w:sz w:val="22"/>
          <w:szCs w:val="22"/>
          <w:lang w:val="es-SV"/>
        </w:rPr>
        <w:t xml:space="preserve">Estadísticas parciales de cuantos niños/as han perdido a sus madres y padres desde el año 2018 hasta marzo del 2021 a causa de la violencia feminicida o violencia homicida, y a que centros de acogida han sido enviados después del suceso. En formato Excel </w:t>
      </w:r>
      <w:r w:rsidR="004D6C34" w:rsidRPr="00636F99">
        <w:rPr>
          <w:b/>
          <w:sz w:val="22"/>
          <w:szCs w:val="22"/>
          <w:lang w:val="es-SV"/>
        </w:rPr>
        <w:t>editable.</w:t>
      </w:r>
      <w:r w:rsidR="004D6C34" w:rsidRPr="00636F99">
        <w:rPr>
          <w:b/>
          <w:color w:val="000000"/>
          <w:sz w:val="22"/>
          <w:szCs w:val="22"/>
          <w:lang w:val="es-SV"/>
        </w:rPr>
        <w:t xml:space="preserve"> “</w:t>
      </w:r>
      <w:r w:rsidRPr="00636F99">
        <w:rPr>
          <w:b/>
          <w:color w:val="000000"/>
          <w:sz w:val="22"/>
          <w:szCs w:val="22"/>
          <w:lang w:val="es-SV"/>
        </w:rPr>
        <w:t>””</w:t>
      </w:r>
    </w:p>
    <w:p w14:paraId="68C7B364" w14:textId="77777777" w:rsidR="00636F99" w:rsidRPr="00636F99" w:rsidRDefault="00636F99" w:rsidP="00636F99">
      <w:pPr>
        <w:spacing w:after="0" w:line="240" w:lineRule="auto"/>
        <w:jc w:val="both"/>
        <w:rPr>
          <w:b/>
          <w:color w:val="000000"/>
          <w:sz w:val="22"/>
          <w:szCs w:val="22"/>
          <w:lang w:val="es-SV"/>
        </w:rPr>
      </w:pPr>
    </w:p>
    <w:p w14:paraId="7DE14911" w14:textId="5B89B6E1" w:rsidR="005A57A7" w:rsidRPr="00636F99" w:rsidRDefault="005A57A7" w:rsidP="00636F99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  <w:lang w:val="es-SV"/>
        </w:rPr>
      </w:pPr>
      <w:r w:rsidRPr="00636F99">
        <w:rPr>
          <w:b/>
          <w:sz w:val="22"/>
          <w:szCs w:val="22"/>
          <w:lang w:val="es-SV"/>
        </w:rPr>
        <w:t xml:space="preserve">CONSIDERANDO. </w:t>
      </w:r>
    </w:p>
    <w:p w14:paraId="46BD18A5" w14:textId="77777777" w:rsidR="005A57A7" w:rsidRPr="00636F99" w:rsidRDefault="005A57A7" w:rsidP="00636F99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p w14:paraId="5F675B5D" w14:textId="77777777" w:rsidR="005A57A7" w:rsidRPr="00636F99" w:rsidRDefault="005A57A7" w:rsidP="00636F99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  <w:r w:rsidRPr="00636F99">
        <w:rPr>
          <w:sz w:val="22"/>
          <w:szCs w:val="22"/>
          <w:lang w:val="es-SV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1B28EE6E" w14:textId="77777777" w:rsidR="005A57A7" w:rsidRPr="00636F99" w:rsidRDefault="005A57A7" w:rsidP="00636F9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  <w:lang w:val="es-SV"/>
        </w:rPr>
      </w:pPr>
    </w:p>
    <w:p w14:paraId="0C4FBE2B" w14:textId="77777777" w:rsidR="005A57A7" w:rsidRPr="00636F99" w:rsidRDefault="005A57A7" w:rsidP="00636F9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lang w:val="es-SV"/>
        </w:rPr>
      </w:pPr>
      <w:r w:rsidRPr="00636F99">
        <w:rPr>
          <w:color w:val="000000"/>
          <w:sz w:val="22"/>
          <w:szCs w:val="22"/>
          <w:lang w:val="es-SV"/>
        </w:rPr>
        <w:t>Que, el art. 69 de la Ley de Acceso a la Información Pública establece que</w:t>
      </w:r>
      <w:r w:rsidRPr="00636F99">
        <w:rPr>
          <w:b/>
          <w:color w:val="000000"/>
          <w:sz w:val="22"/>
          <w:szCs w:val="22"/>
          <w:lang w:val="es-SV"/>
        </w:rPr>
        <w:t xml:space="preserve"> </w:t>
      </w:r>
      <w:r w:rsidRPr="00636F99">
        <w:rPr>
          <w:color w:val="000000"/>
          <w:sz w:val="22"/>
          <w:szCs w:val="22"/>
          <w:lang w:val="es-SV"/>
        </w:rPr>
        <w:t>el Oficial de Información es el vínculo entre la Institución Pública y el solicitante, por ser quien realiza las gestiones necesarias para facilitar el acceso a la información pública.</w:t>
      </w:r>
    </w:p>
    <w:p w14:paraId="6A3F20AE" w14:textId="77777777" w:rsidR="005A57A7" w:rsidRPr="00636F99" w:rsidRDefault="005A57A7" w:rsidP="00636F99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</w:p>
    <w:p w14:paraId="12D5A1BC" w14:textId="00C8BB9A" w:rsidR="005A57A7" w:rsidRPr="00636F99" w:rsidRDefault="005A57A7" w:rsidP="00636F99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  <w:lang w:val="es-SV"/>
        </w:rPr>
      </w:pPr>
      <w:r w:rsidRPr="00636F99">
        <w:rPr>
          <w:b/>
          <w:sz w:val="22"/>
          <w:szCs w:val="22"/>
          <w:lang w:val="es-SV"/>
        </w:rPr>
        <w:t xml:space="preserve">FUNDAMENTACIÓN. </w:t>
      </w:r>
    </w:p>
    <w:p w14:paraId="28AA59B4" w14:textId="77777777" w:rsidR="005A57A7" w:rsidRPr="00636F99" w:rsidRDefault="005A57A7" w:rsidP="00636F99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</w:p>
    <w:p w14:paraId="2A400EE8" w14:textId="77777777" w:rsidR="005A57A7" w:rsidRPr="00636F99" w:rsidRDefault="005A57A7" w:rsidP="00636F99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  <w:r w:rsidRPr="00636F99">
        <w:rPr>
          <w:sz w:val="22"/>
          <w:szCs w:val="22"/>
          <w:lang w:val="es-SV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76889CD1" w14:textId="77777777" w:rsidR="005A57A7" w:rsidRPr="00636F99" w:rsidRDefault="005A57A7" w:rsidP="00636F99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</w:p>
    <w:p w14:paraId="71F4E327" w14:textId="77777777" w:rsidR="005A57A7" w:rsidRPr="00636F99" w:rsidRDefault="005A57A7" w:rsidP="00636F99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  <w:r w:rsidRPr="00636F99">
        <w:rPr>
          <w:sz w:val="22"/>
          <w:szCs w:val="22"/>
          <w:lang w:val="es-SV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14:paraId="5ABB384B" w14:textId="77777777" w:rsidR="005A57A7" w:rsidRPr="00636F99" w:rsidRDefault="005A57A7" w:rsidP="00636F99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</w:p>
    <w:p w14:paraId="3A718DD2" w14:textId="08F54FAC" w:rsidR="00A16FA7" w:rsidRPr="00636F99" w:rsidRDefault="00B57C39" w:rsidP="00636F99">
      <w:pPr>
        <w:spacing w:after="0" w:line="240" w:lineRule="auto"/>
        <w:jc w:val="both"/>
        <w:rPr>
          <w:sz w:val="22"/>
          <w:szCs w:val="22"/>
          <w:lang w:val="es-SV"/>
        </w:rPr>
      </w:pPr>
      <w:r w:rsidRPr="00636F99">
        <w:rPr>
          <w:color w:val="000000"/>
          <w:sz w:val="22"/>
          <w:szCs w:val="22"/>
          <w:lang w:val="es-SV" w:eastAsia="en-US"/>
        </w:rPr>
        <w:t xml:space="preserve">Conforme lo anteriormente expuesto y con el propósito de dar respuesta a lo </w:t>
      </w:r>
      <w:r w:rsidR="00C51D05" w:rsidRPr="00636F99">
        <w:rPr>
          <w:color w:val="000000"/>
          <w:sz w:val="22"/>
          <w:szCs w:val="22"/>
          <w:lang w:val="es-SV" w:eastAsia="en-US"/>
        </w:rPr>
        <w:t>requerido</w:t>
      </w:r>
      <w:r w:rsidR="00C51D05" w:rsidRPr="00636F99">
        <w:rPr>
          <w:color w:val="000000"/>
          <w:sz w:val="22"/>
          <w:szCs w:val="22"/>
          <w:lang w:val="es-SV"/>
        </w:rPr>
        <w:t>,</w:t>
      </w:r>
      <w:r w:rsidRPr="00636F99">
        <w:rPr>
          <w:sz w:val="22"/>
          <w:szCs w:val="22"/>
          <w:lang w:val="es-SV"/>
        </w:rPr>
        <w:t xml:space="preserve"> en fecha </w:t>
      </w:r>
      <w:r w:rsidR="00636F99">
        <w:rPr>
          <w:sz w:val="22"/>
          <w:szCs w:val="22"/>
          <w:lang w:val="es-SV"/>
        </w:rPr>
        <w:t xml:space="preserve">doce </w:t>
      </w:r>
      <w:r w:rsidR="00CB6C3E" w:rsidRPr="00636F99">
        <w:rPr>
          <w:sz w:val="22"/>
          <w:szCs w:val="22"/>
          <w:lang w:val="es-SV"/>
        </w:rPr>
        <w:t>de los corrientes</w:t>
      </w:r>
      <w:r w:rsidR="004E4403" w:rsidRPr="00636F99">
        <w:rPr>
          <w:sz w:val="22"/>
          <w:szCs w:val="22"/>
          <w:lang w:val="es-SV"/>
        </w:rPr>
        <w:t>, se solicitó a</w:t>
      </w:r>
      <w:r w:rsidR="00A16FA7" w:rsidRPr="00636F99">
        <w:rPr>
          <w:sz w:val="22"/>
          <w:szCs w:val="22"/>
          <w:lang w:val="es-SV"/>
        </w:rPr>
        <w:t xml:space="preserve"> Subdirección de Defensa de Derechos Individuales y a la Sección de Desarrollo de Software, para que recopilara la información, verificara su clasificación y comunicara la forma en que se encuentra disponible la misma. </w:t>
      </w:r>
    </w:p>
    <w:p w14:paraId="69195604" w14:textId="1F3E7740" w:rsidR="00CB6C3E" w:rsidRPr="00636F99" w:rsidRDefault="00CB6C3E" w:rsidP="00636F99">
      <w:pPr>
        <w:spacing w:after="0" w:line="240" w:lineRule="auto"/>
        <w:jc w:val="both"/>
        <w:rPr>
          <w:sz w:val="22"/>
          <w:szCs w:val="22"/>
          <w:lang w:val="es-SV"/>
        </w:rPr>
      </w:pPr>
    </w:p>
    <w:p w14:paraId="2F21B952" w14:textId="352DBDC7" w:rsidR="00EC27BF" w:rsidRDefault="00A16FA7" w:rsidP="00636F99">
      <w:pPr>
        <w:spacing w:after="0" w:line="240" w:lineRule="auto"/>
        <w:jc w:val="both"/>
        <w:rPr>
          <w:sz w:val="22"/>
          <w:szCs w:val="22"/>
          <w:lang w:val="es-SV"/>
        </w:rPr>
      </w:pPr>
      <w:r w:rsidRPr="00636F99">
        <w:rPr>
          <w:sz w:val="22"/>
          <w:szCs w:val="22"/>
          <w:lang w:val="es-SV"/>
        </w:rPr>
        <w:t xml:space="preserve">El día </w:t>
      </w:r>
      <w:r w:rsidR="00636F99">
        <w:rPr>
          <w:sz w:val="22"/>
          <w:szCs w:val="22"/>
          <w:lang w:val="es-SV"/>
        </w:rPr>
        <w:t xml:space="preserve">trece </w:t>
      </w:r>
      <w:r w:rsidR="00BC5B94" w:rsidRPr="00636F99">
        <w:rPr>
          <w:sz w:val="22"/>
          <w:szCs w:val="22"/>
          <w:lang w:val="es-SV"/>
        </w:rPr>
        <w:t>del presente mes y año, se recibió correo electrónico de parte de la Sección de Desarrollo de Software, en el que informa “”que no es posible generar la información requerida”””</w:t>
      </w:r>
      <w:r w:rsidR="00EC27BF" w:rsidRPr="00636F99">
        <w:rPr>
          <w:sz w:val="22"/>
          <w:szCs w:val="22"/>
          <w:lang w:val="es-SV"/>
        </w:rPr>
        <w:t>.</w:t>
      </w:r>
      <w:r w:rsidR="00636F99">
        <w:rPr>
          <w:sz w:val="22"/>
          <w:szCs w:val="22"/>
          <w:lang w:val="es-SV"/>
        </w:rPr>
        <w:t xml:space="preserve"> </w:t>
      </w:r>
      <w:r w:rsidR="00636F99">
        <w:rPr>
          <w:sz w:val="22"/>
          <w:szCs w:val="22"/>
          <w:lang w:val="es-SV"/>
        </w:rPr>
        <w:lastRenderedPageBreak/>
        <w:t>D</w:t>
      </w:r>
      <w:r w:rsidR="00EC27BF" w:rsidRPr="00636F99">
        <w:rPr>
          <w:sz w:val="22"/>
          <w:szCs w:val="22"/>
          <w:lang w:val="es-SV"/>
        </w:rPr>
        <w:t xml:space="preserve">e parte de la Subdirección de Defensa de Derechos Individuales el día </w:t>
      </w:r>
      <w:r w:rsidR="00BA3A24">
        <w:rPr>
          <w:sz w:val="22"/>
          <w:szCs w:val="22"/>
          <w:lang w:val="es-SV"/>
        </w:rPr>
        <w:t xml:space="preserve">veinte </w:t>
      </w:r>
      <w:r w:rsidR="00EC27BF" w:rsidRPr="00636F99">
        <w:rPr>
          <w:sz w:val="22"/>
          <w:szCs w:val="22"/>
          <w:lang w:val="es-SV"/>
        </w:rPr>
        <w:t>del presente mes y año, se recibo Memorando número SDDI/3</w:t>
      </w:r>
      <w:r w:rsidR="00455CB1">
        <w:rPr>
          <w:sz w:val="22"/>
          <w:szCs w:val="22"/>
          <w:lang w:val="es-SV"/>
        </w:rPr>
        <w:t>27</w:t>
      </w:r>
      <w:r w:rsidR="00EC27BF" w:rsidRPr="00636F99">
        <w:rPr>
          <w:sz w:val="22"/>
          <w:szCs w:val="22"/>
          <w:lang w:val="es-SV"/>
        </w:rPr>
        <w:t>/2021, de fecha 1</w:t>
      </w:r>
      <w:r w:rsidR="00455CB1">
        <w:rPr>
          <w:sz w:val="22"/>
          <w:szCs w:val="22"/>
          <w:lang w:val="es-SV"/>
        </w:rPr>
        <w:t>3</w:t>
      </w:r>
      <w:r w:rsidR="00EC27BF" w:rsidRPr="00636F99">
        <w:rPr>
          <w:sz w:val="22"/>
          <w:szCs w:val="22"/>
          <w:lang w:val="es-SV"/>
        </w:rPr>
        <w:t xml:space="preserve"> de mayo de 2021, por medio del cual informa lo siguiente: </w:t>
      </w:r>
    </w:p>
    <w:p w14:paraId="368761BB" w14:textId="719B9524" w:rsidR="00A16FA7" w:rsidRPr="00636F99" w:rsidRDefault="00EC27BF" w:rsidP="00BA3A24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sz w:val="22"/>
          <w:szCs w:val="22"/>
          <w:lang w:val="es-SV"/>
        </w:rPr>
      </w:pPr>
      <w:r w:rsidRPr="00636F99">
        <w:rPr>
          <w:sz w:val="22"/>
          <w:szCs w:val="22"/>
          <w:lang w:val="es-SV"/>
        </w:rPr>
        <w:t xml:space="preserve">Que el consejo cuenta con sistema de </w:t>
      </w:r>
      <w:r w:rsidR="00BA3A24">
        <w:rPr>
          <w:sz w:val="22"/>
          <w:szCs w:val="22"/>
          <w:lang w:val="es-SV"/>
        </w:rPr>
        <w:t xml:space="preserve">Información de </w:t>
      </w:r>
      <w:r w:rsidRPr="00636F99">
        <w:rPr>
          <w:sz w:val="22"/>
          <w:szCs w:val="22"/>
          <w:lang w:val="es-SV"/>
        </w:rPr>
        <w:t xml:space="preserve">Denuncias (SID) en donde se recoge la información referente a todos los casos de avisos y/o denuncias que son puestos en conocimientos de las Juntas de Protección; </w:t>
      </w:r>
    </w:p>
    <w:p w14:paraId="19C4C9FA" w14:textId="73D8E495" w:rsidR="00EC27BF" w:rsidRPr="00BA3A24" w:rsidRDefault="00EC27BF" w:rsidP="00BA3A24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sz w:val="22"/>
          <w:szCs w:val="22"/>
          <w:lang w:val="es-SV"/>
        </w:rPr>
      </w:pPr>
      <w:r w:rsidRPr="00636F99">
        <w:rPr>
          <w:sz w:val="22"/>
          <w:szCs w:val="22"/>
          <w:lang w:val="es-SV"/>
        </w:rPr>
        <w:t>Por medio del SID se registra la presunta amenaza y/o vulneración a los derechos de niñas, niños y adolescentes, para lo cual se</w:t>
      </w:r>
      <w:r w:rsidR="00BA3A24">
        <w:rPr>
          <w:sz w:val="22"/>
          <w:szCs w:val="22"/>
          <w:lang w:val="es-SV"/>
        </w:rPr>
        <w:t xml:space="preserve"> consigna el derecho vulnerado</w:t>
      </w:r>
      <w:r w:rsidRPr="00BA3A24">
        <w:rPr>
          <w:sz w:val="22"/>
          <w:szCs w:val="22"/>
          <w:lang w:val="es-SV"/>
        </w:rPr>
        <w:t xml:space="preserve">; </w:t>
      </w:r>
    </w:p>
    <w:p w14:paraId="74ED07D5" w14:textId="089EF629" w:rsidR="00BC5B94" w:rsidRDefault="00985062" w:rsidP="00BA3A24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sz w:val="22"/>
          <w:szCs w:val="22"/>
          <w:lang w:val="es-SV"/>
        </w:rPr>
      </w:pPr>
      <w:r w:rsidRPr="00636F99">
        <w:rPr>
          <w:sz w:val="22"/>
          <w:szCs w:val="22"/>
          <w:lang w:val="es-SV"/>
        </w:rPr>
        <w:t xml:space="preserve">Que </w:t>
      </w:r>
      <w:r w:rsidR="00BA3A24">
        <w:rPr>
          <w:sz w:val="22"/>
          <w:szCs w:val="22"/>
          <w:lang w:val="es-SV"/>
        </w:rPr>
        <w:t>no se cuenta con la información solicitada ya que es la Fiscalía General de la República quien registra hechos penales como feminicidio y homicidios.</w:t>
      </w:r>
    </w:p>
    <w:p w14:paraId="0535BD8E" w14:textId="77777777" w:rsidR="00BA3A24" w:rsidRPr="00636F99" w:rsidRDefault="00BA3A24" w:rsidP="00BA3A24">
      <w:pPr>
        <w:pStyle w:val="Prrafodelista"/>
        <w:spacing w:after="0" w:line="240" w:lineRule="auto"/>
        <w:ind w:left="0"/>
        <w:jc w:val="both"/>
        <w:rPr>
          <w:sz w:val="22"/>
          <w:szCs w:val="22"/>
          <w:lang w:val="es-SV"/>
        </w:rPr>
      </w:pPr>
    </w:p>
    <w:p w14:paraId="4423A729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  <w:r w:rsidRPr="00E5279D">
        <w:rPr>
          <w:sz w:val="22"/>
          <w:szCs w:val="22"/>
          <w:lang w:val="es-SV"/>
        </w:rPr>
        <w:t xml:space="preserve">El Art. 68 de la LAIP establece que los interesados tendrán derecho la asistencia para el acceso a la información y al auxilio en la elaboración de las solicitudes, si así lo pide. Cuando una solicitud de información sea dirigida a un ente obligado distinto del competente, éste deberá informar al interesado la entidad a la que debe dirigirse. </w:t>
      </w:r>
    </w:p>
    <w:p w14:paraId="26D09FFF" w14:textId="11561834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  <w:r w:rsidRPr="00E5279D">
        <w:rPr>
          <w:sz w:val="22"/>
          <w:szCs w:val="22"/>
          <w:lang w:val="es-SV"/>
        </w:rPr>
        <w:t xml:space="preserve">En ese sentido, lo solicitado no </w:t>
      </w:r>
      <w:r>
        <w:rPr>
          <w:sz w:val="22"/>
          <w:szCs w:val="22"/>
          <w:lang w:val="es-SV"/>
        </w:rPr>
        <w:t>e</w:t>
      </w:r>
      <w:r w:rsidRPr="00E5279D">
        <w:rPr>
          <w:sz w:val="22"/>
          <w:szCs w:val="22"/>
          <w:lang w:val="es-SV"/>
        </w:rPr>
        <w:t xml:space="preserve">s administrado, ni tampoco generado, ni se encuentra en poder de esta Institución por ende, debe presentar su petición de Información ante el Oficial de Información de </w:t>
      </w:r>
      <w:r>
        <w:rPr>
          <w:sz w:val="22"/>
          <w:szCs w:val="22"/>
          <w:lang w:val="es-SV"/>
        </w:rPr>
        <w:t>la FGR</w:t>
      </w:r>
      <w:r w:rsidRPr="00E5279D">
        <w:rPr>
          <w:sz w:val="22"/>
          <w:szCs w:val="22"/>
          <w:lang w:val="es-SV"/>
        </w:rPr>
        <w:t>.</w:t>
      </w:r>
    </w:p>
    <w:p w14:paraId="2C96B3C8" w14:textId="77777777" w:rsidR="00BA3A24" w:rsidRPr="00E5279D" w:rsidRDefault="00BA3A24" w:rsidP="00BA3A24">
      <w:pPr>
        <w:spacing w:after="0" w:line="240" w:lineRule="auto"/>
        <w:jc w:val="both"/>
        <w:rPr>
          <w:sz w:val="22"/>
          <w:szCs w:val="22"/>
          <w:lang w:val="es-SV"/>
        </w:rPr>
      </w:pPr>
    </w:p>
    <w:p w14:paraId="2C7BD7B3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es-SV"/>
        </w:rPr>
      </w:pPr>
      <w:r w:rsidRPr="00E5279D">
        <w:rPr>
          <w:b/>
          <w:bCs/>
          <w:sz w:val="22"/>
          <w:szCs w:val="22"/>
          <w:lang w:val="es-SV"/>
        </w:rPr>
        <w:t xml:space="preserve">POR TANTO: </w:t>
      </w:r>
      <w:r w:rsidRPr="00E5279D">
        <w:rPr>
          <w:sz w:val="22"/>
          <w:szCs w:val="22"/>
          <w:lang w:val="es-SV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E5279D">
        <w:rPr>
          <w:b/>
          <w:bCs/>
          <w:sz w:val="22"/>
          <w:szCs w:val="22"/>
          <w:lang w:val="es-SV"/>
        </w:rPr>
        <w:t>RESUELVE</w:t>
      </w:r>
      <w:r w:rsidRPr="00E5279D">
        <w:rPr>
          <w:sz w:val="22"/>
          <w:szCs w:val="22"/>
          <w:lang w:val="es-SV"/>
        </w:rPr>
        <w:t xml:space="preserve">: </w:t>
      </w:r>
    </w:p>
    <w:p w14:paraId="260EB1EA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  <w:lang w:val="es-SV"/>
        </w:rPr>
      </w:pPr>
    </w:p>
    <w:p w14:paraId="5F092E36" w14:textId="2C1A0EEA" w:rsidR="00BA3A24" w:rsidRPr="00E5279D" w:rsidRDefault="00BA3A24" w:rsidP="00BA3A24">
      <w:pPr>
        <w:pStyle w:val="Prrafodelista"/>
        <w:spacing w:after="0" w:line="240" w:lineRule="auto"/>
        <w:rPr>
          <w:sz w:val="22"/>
          <w:szCs w:val="22"/>
          <w:lang w:val="es-SV"/>
        </w:rPr>
      </w:pPr>
      <w:r w:rsidRPr="00E5279D">
        <w:rPr>
          <w:b/>
          <w:sz w:val="22"/>
          <w:szCs w:val="22"/>
          <w:lang w:val="es-SV"/>
        </w:rPr>
        <w:t>DECLÁRESE</w:t>
      </w:r>
      <w:r w:rsidRPr="00E5279D">
        <w:rPr>
          <w:sz w:val="22"/>
          <w:szCs w:val="22"/>
          <w:lang w:val="es-SV"/>
        </w:rPr>
        <w:t xml:space="preserve"> La Incompetencia para </w:t>
      </w:r>
      <w:r>
        <w:rPr>
          <w:sz w:val="22"/>
          <w:szCs w:val="22"/>
          <w:lang w:val="es-SV"/>
        </w:rPr>
        <w:t xml:space="preserve">el </w:t>
      </w:r>
      <w:r w:rsidRPr="00E5279D">
        <w:rPr>
          <w:sz w:val="22"/>
          <w:szCs w:val="22"/>
          <w:lang w:val="es-SV"/>
        </w:rPr>
        <w:t xml:space="preserve">requerimiento. </w:t>
      </w:r>
    </w:p>
    <w:p w14:paraId="7E3EC786" w14:textId="1C34AE5D" w:rsidR="00BA3A24" w:rsidRPr="00E5279D" w:rsidRDefault="00BA3A24" w:rsidP="00BA3A24">
      <w:pPr>
        <w:pStyle w:val="Prrafodelista"/>
        <w:spacing w:after="0" w:line="240" w:lineRule="auto"/>
        <w:rPr>
          <w:sz w:val="22"/>
          <w:szCs w:val="22"/>
          <w:lang w:val="es-SV"/>
        </w:rPr>
      </w:pPr>
      <w:r w:rsidRPr="00E5279D">
        <w:rPr>
          <w:b/>
          <w:sz w:val="22"/>
          <w:szCs w:val="22"/>
          <w:lang w:val="es-SV"/>
        </w:rPr>
        <w:t>ORIÉNTESE</w:t>
      </w:r>
      <w:r w:rsidRPr="00E5279D">
        <w:rPr>
          <w:sz w:val="22"/>
          <w:szCs w:val="22"/>
          <w:lang w:val="es-SV"/>
        </w:rPr>
        <w:t xml:space="preserve"> al peticionari</w:t>
      </w:r>
      <w:r>
        <w:rPr>
          <w:sz w:val="22"/>
          <w:szCs w:val="22"/>
          <w:lang w:val="es-SV"/>
        </w:rPr>
        <w:t>o</w:t>
      </w:r>
      <w:r w:rsidRPr="00E5279D">
        <w:rPr>
          <w:sz w:val="22"/>
          <w:szCs w:val="22"/>
          <w:lang w:val="es-SV"/>
        </w:rPr>
        <w:t xml:space="preserve"> para ejerza su derecho a solicitar información ante el ente correspondiente.</w:t>
      </w:r>
    </w:p>
    <w:p w14:paraId="49794DD3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  <w:lang w:val="es-SV"/>
        </w:rPr>
      </w:pPr>
    </w:p>
    <w:p w14:paraId="4DAB7217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2"/>
          <w:szCs w:val="22"/>
          <w:lang w:val="es-SV"/>
        </w:rPr>
      </w:pPr>
      <w:r w:rsidRPr="00E5279D">
        <w:rPr>
          <w:b/>
          <w:bCs/>
          <w:color w:val="000000"/>
          <w:sz w:val="22"/>
          <w:szCs w:val="22"/>
          <w:lang w:val="es-SV"/>
        </w:rPr>
        <w:t xml:space="preserve">NOTIFÍQUESE. </w:t>
      </w:r>
    </w:p>
    <w:p w14:paraId="4544BF69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2"/>
          <w:szCs w:val="22"/>
          <w:lang w:val="es-SV" w:eastAsia="en-US"/>
        </w:rPr>
      </w:pPr>
    </w:p>
    <w:p w14:paraId="796FFDED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2"/>
          <w:szCs w:val="22"/>
          <w:lang w:val="es-SV" w:eastAsia="en-US"/>
        </w:rPr>
      </w:pPr>
    </w:p>
    <w:p w14:paraId="586D64AF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2"/>
          <w:szCs w:val="22"/>
          <w:lang w:val="es-SV" w:eastAsia="en-US"/>
        </w:rPr>
      </w:pPr>
    </w:p>
    <w:p w14:paraId="77BC6384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2"/>
          <w:szCs w:val="22"/>
          <w:lang w:val="es-SV" w:eastAsia="en-US"/>
        </w:rPr>
      </w:pPr>
    </w:p>
    <w:p w14:paraId="1142A5E8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2"/>
          <w:szCs w:val="22"/>
          <w:lang w:val="es-SV" w:eastAsia="en-US"/>
        </w:rPr>
      </w:pPr>
    </w:p>
    <w:p w14:paraId="44E37EF0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2"/>
          <w:szCs w:val="22"/>
          <w:lang w:val="es-SV" w:eastAsia="en-US"/>
        </w:rPr>
      </w:pPr>
    </w:p>
    <w:p w14:paraId="668985DE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2"/>
          <w:szCs w:val="22"/>
          <w:lang w:val="es-SV" w:eastAsia="en-US"/>
        </w:rPr>
      </w:pPr>
      <w:r w:rsidRPr="00E5279D">
        <w:rPr>
          <w:rFonts w:eastAsiaTheme="minorHAnsi"/>
          <w:sz w:val="22"/>
          <w:szCs w:val="22"/>
          <w:lang w:val="es-SV" w:eastAsia="en-US"/>
        </w:rPr>
        <w:t>Laura Lisett Centeno Zavaleta</w:t>
      </w:r>
    </w:p>
    <w:p w14:paraId="44E176D5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2"/>
          <w:szCs w:val="22"/>
          <w:lang w:val="es-SV" w:eastAsia="en-US"/>
        </w:rPr>
      </w:pPr>
      <w:r w:rsidRPr="00E5279D">
        <w:rPr>
          <w:rFonts w:eastAsiaTheme="minorHAnsi"/>
          <w:sz w:val="22"/>
          <w:szCs w:val="22"/>
          <w:lang w:val="es-SV" w:eastAsia="en-US"/>
        </w:rPr>
        <w:t>Oficial de Información</w:t>
      </w:r>
    </w:p>
    <w:p w14:paraId="18989369" w14:textId="77777777" w:rsidR="00BA3A24" w:rsidRPr="00E5279D" w:rsidRDefault="00BA3A24" w:rsidP="00BA3A2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2"/>
          <w:szCs w:val="22"/>
          <w:lang w:val="es-SV" w:eastAsia="en-US"/>
        </w:rPr>
      </w:pPr>
      <w:r w:rsidRPr="00E5279D">
        <w:rPr>
          <w:rFonts w:eastAsiaTheme="minorHAnsi"/>
          <w:sz w:val="22"/>
          <w:szCs w:val="22"/>
          <w:lang w:val="es-SV" w:eastAsia="en-US"/>
        </w:rPr>
        <w:t>CONNA</w:t>
      </w:r>
    </w:p>
    <w:p w14:paraId="5F94314B" w14:textId="77777777" w:rsidR="005E09B2" w:rsidRPr="00636F99" w:rsidRDefault="005E09B2" w:rsidP="00636F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p w14:paraId="533401D5" w14:textId="77777777" w:rsidR="005E09B2" w:rsidRPr="00636F99" w:rsidRDefault="005E09B2" w:rsidP="00636F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p w14:paraId="46FBFE77" w14:textId="77777777" w:rsidR="00133E8F" w:rsidRPr="00636F99" w:rsidRDefault="00133E8F" w:rsidP="00636F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p w14:paraId="4C5E088D" w14:textId="77777777" w:rsidR="00133E8F" w:rsidRPr="00636F99" w:rsidRDefault="00133E8F" w:rsidP="00636F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p w14:paraId="48E74747" w14:textId="77777777" w:rsidR="00CB589F" w:rsidRPr="00636F99" w:rsidRDefault="00CB589F" w:rsidP="00636F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p w14:paraId="7BDFA6BC" w14:textId="77777777" w:rsidR="008734BA" w:rsidRPr="00636F99" w:rsidRDefault="008734BA" w:rsidP="00636F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p w14:paraId="63754D6D" w14:textId="77777777" w:rsidR="00C12C0A" w:rsidRPr="00636F99" w:rsidRDefault="00C12C0A" w:rsidP="00636F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p w14:paraId="0D371E53" w14:textId="77777777" w:rsidR="005E09B2" w:rsidRPr="00636F99" w:rsidRDefault="005E09B2" w:rsidP="00636F9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  <w:lang w:val="es-SV" w:eastAsia="en-US"/>
        </w:rPr>
      </w:pPr>
    </w:p>
    <w:sectPr w:rsidR="005E09B2" w:rsidRPr="00636F99" w:rsidSect="004C625C">
      <w:headerReference w:type="default" r:id="rId8"/>
      <w:footerReference w:type="default" r:id="rId9"/>
      <w:headerReference w:type="first" r:id="rId10"/>
      <w:pgSz w:w="12240" w:h="15840" w:code="1"/>
      <w:pgMar w:top="2268" w:right="1446" w:bottom="1418" w:left="1446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524E" w14:textId="77777777" w:rsidR="00D325BB" w:rsidRDefault="00D325BB">
      <w:pPr>
        <w:spacing w:after="0" w:line="240" w:lineRule="auto"/>
      </w:pPr>
      <w:r>
        <w:separator/>
      </w:r>
    </w:p>
  </w:endnote>
  <w:endnote w:type="continuationSeparator" w:id="0">
    <w:p w14:paraId="08EEE443" w14:textId="77777777" w:rsidR="00D325BB" w:rsidRDefault="00D3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2D0E" w14:textId="6D541C87" w:rsidR="00C12C0A" w:rsidRPr="00EB7934" w:rsidRDefault="00C12C0A" w:rsidP="00416C4E">
    <w:pPr>
      <w:pStyle w:val="Piedepgina"/>
      <w:jc w:val="center"/>
      <w:rPr>
        <w:rFonts w:ascii="Monotype Corsiva" w:hAnsi="Monotype Corsiva"/>
        <w:color w:val="29B7EB"/>
        <w:sz w:val="24"/>
        <w:szCs w:val="24"/>
        <w:lang w:val="es-SV"/>
      </w:rPr>
    </w:pPr>
    <w:r w:rsidRPr="00EB7934">
      <w:rPr>
        <w:rFonts w:ascii="Monotype Corsiva" w:hAnsi="Monotype Corsiva"/>
        <w:color w:val="29B7EB"/>
        <w:sz w:val="24"/>
        <w:szCs w:val="24"/>
        <w:lang w:val="es-SV"/>
      </w:rPr>
      <w:t>“La niñez y la adolescencia nuestra prioridad”</w:t>
    </w:r>
  </w:p>
  <w:p w14:paraId="207B7177" w14:textId="66B21D9B" w:rsidR="00C12C0A" w:rsidRPr="00EB7934" w:rsidRDefault="00C12C0A" w:rsidP="000E426C">
    <w:pPr>
      <w:pStyle w:val="Piedepgina"/>
      <w:jc w:val="center"/>
      <w:rPr>
        <w:sz w:val="18"/>
        <w:szCs w:val="18"/>
        <w:lang w:val="es-SV"/>
      </w:rPr>
    </w:pPr>
    <w:r w:rsidRPr="00EB7934">
      <w:rPr>
        <w:sz w:val="18"/>
        <w:szCs w:val="18"/>
        <w:lang w:val="es-SV"/>
      </w:rPr>
      <w:t>Tel. 2511-5400    www.conna.gob.sv</w:t>
    </w:r>
  </w:p>
  <w:p w14:paraId="3ABCB3FA" w14:textId="3091B1A8" w:rsidR="00C12C0A" w:rsidRPr="00EB7934" w:rsidRDefault="00C12C0A" w:rsidP="000E426C">
    <w:pPr>
      <w:pStyle w:val="Piedepgina"/>
      <w:jc w:val="center"/>
      <w:rPr>
        <w:sz w:val="18"/>
        <w:szCs w:val="18"/>
        <w:lang w:val="es-SV"/>
      </w:rPr>
    </w:pPr>
    <w:r w:rsidRPr="00EB7934">
      <w:rPr>
        <w:sz w:val="18"/>
        <w:szCs w:val="18"/>
        <w:lang w:val="es-SV"/>
      </w:rPr>
      <w:t>Col. Costa Rica, Av. Irazú y Final Calle Santa Marta, N°2, San Salvador, El Salvador</w:t>
    </w:r>
  </w:p>
  <w:p w14:paraId="1078C78A" w14:textId="60595046" w:rsidR="00C12C0A" w:rsidRPr="009805F7" w:rsidRDefault="00C12C0A" w:rsidP="009805F7">
    <w:pPr>
      <w:spacing w:line="240" w:lineRule="auto"/>
      <w:rPr>
        <w:lang w:val="es-SV"/>
      </w:rPr>
    </w:pPr>
    <w:r w:rsidRPr="000B658E">
      <w:rPr>
        <w:rFonts w:ascii="Monotype Corsiva" w:hAnsi="Monotype Corsiva"/>
        <w:noProof/>
        <w:color w:val="29B7EB"/>
        <w:lang w:val="es-SV"/>
      </w:rPr>
      <w:drawing>
        <wp:anchor distT="0" distB="0" distL="114300" distR="114300" simplePos="0" relativeHeight="251657728" behindDoc="1" locked="0" layoutInCell="1" allowOverlap="1" wp14:anchorId="74515E2D" wp14:editId="77F00D38">
          <wp:simplePos x="0" y="0"/>
          <wp:positionH relativeFrom="page">
            <wp:align>left</wp:align>
          </wp:positionH>
          <wp:positionV relativeFrom="paragraph">
            <wp:posOffset>123825</wp:posOffset>
          </wp:positionV>
          <wp:extent cx="7753350" cy="4000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-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62"/>
                  <a:stretch/>
                </pic:blipFill>
                <pic:spPr bwMode="auto">
                  <a:xfrm>
                    <a:off x="0" y="0"/>
                    <a:ext cx="77533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83DB" w14:textId="77777777" w:rsidR="00D325BB" w:rsidRDefault="00D325BB">
      <w:pPr>
        <w:spacing w:after="0" w:line="240" w:lineRule="auto"/>
      </w:pPr>
      <w:r>
        <w:separator/>
      </w:r>
    </w:p>
  </w:footnote>
  <w:footnote w:type="continuationSeparator" w:id="0">
    <w:p w14:paraId="7202424E" w14:textId="77777777" w:rsidR="00D325BB" w:rsidRDefault="00D3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972"/>
    </w:tblGrid>
    <w:tr w:rsidR="004D6C34" w:rsidRPr="001C60C9" w14:paraId="169B92C4" w14:textId="77777777" w:rsidTr="00EB438A">
      <w:tc>
        <w:tcPr>
          <w:tcW w:w="2972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  <w:hideMark/>
        </w:tcPr>
        <w:p w14:paraId="5D36B3C6" w14:textId="77777777" w:rsidR="004D6C34" w:rsidRDefault="004D6C34" w:rsidP="004D6C34">
          <w:pPr>
            <w:rPr>
              <w:rFonts w:asciiTheme="minorHAnsi" w:hAnsiTheme="minorHAnsi"/>
              <w:b/>
              <w:color w:val="FF0000"/>
              <w:sz w:val="18"/>
              <w:szCs w:val="18"/>
              <w:u w:val="single"/>
              <w:lang w:val="es-SV"/>
            </w:rPr>
          </w:pPr>
          <w:r>
            <w:rPr>
              <w:rFonts w:asciiTheme="minorHAnsi" w:hAnsiTheme="minorHAnsi"/>
              <w:b/>
              <w:color w:val="FF0000"/>
              <w:sz w:val="18"/>
              <w:szCs w:val="18"/>
              <w:lang w:val="es-SV"/>
            </w:rPr>
            <w:t>Versión Pública: art. 30 Ley del Acceso a la Información Pública.</w:t>
          </w:r>
        </w:p>
      </w:tc>
    </w:tr>
  </w:tbl>
  <w:p w14:paraId="05E19BCC" w14:textId="3B412093" w:rsidR="00C12C0A" w:rsidRPr="00AD6CD4" w:rsidRDefault="00C12C0A" w:rsidP="00FA2AE0">
    <w:pPr>
      <w:tabs>
        <w:tab w:val="left" w:pos="1665"/>
      </w:tabs>
      <w:rPr>
        <w:lang w:val="es-SV"/>
      </w:rPr>
    </w:pPr>
    <w:r>
      <w:rPr>
        <w:noProof/>
        <w:lang w:val="es-SV"/>
      </w:rPr>
      <w:drawing>
        <wp:anchor distT="0" distB="0" distL="114300" distR="114300" simplePos="0" relativeHeight="251656704" behindDoc="1" locked="0" layoutInCell="1" allowOverlap="1" wp14:anchorId="38F60D6C" wp14:editId="3AE44620">
          <wp:simplePos x="0" y="0"/>
          <wp:positionH relativeFrom="page">
            <wp:align>left</wp:align>
          </wp:positionH>
          <wp:positionV relativeFrom="paragraph">
            <wp:posOffset>-942975</wp:posOffset>
          </wp:positionV>
          <wp:extent cx="7930222" cy="10261727"/>
          <wp:effectExtent l="0" t="0" r="0" b="635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222" cy="1026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3205" w14:textId="77777777" w:rsidR="00C12C0A" w:rsidRDefault="00D325BB">
    <w:pPr>
      <w:pStyle w:val="Encabezado"/>
    </w:pPr>
    <w:r>
      <w:rPr>
        <w:noProof/>
      </w:rPr>
      <w:pict w14:anchorId="6187C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5" o:spid="_x0000_s2049" type="#_x0000_t75" style="position:absolute;margin-left:0;margin-top:0;width:612.25pt;height:11in;z-index:-251657728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05E"/>
    <w:multiLevelType w:val="hybridMultilevel"/>
    <w:tmpl w:val="6D98DE18"/>
    <w:lvl w:ilvl="0" w:tplc="BA9EBC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DB6"/>
    <w:multiLevelType w:val="hybridMultilevel"/>
    <w:tmpl w:val="E33C25B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75E8"/>
    <w:multiLevelType w:val="hybridMultilevel"/>
    <w:tmpl w:val="6944C48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95A"/>
    <w:multiLevelType w:val="hybridMultilevel"/>
    <w:tmpl w:val="94DEA57C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549"/>
    <w:multiLevelType w:val="hybridMultilevel"/>
    <w:tmpl w:val="9FC27C7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243"/>
    <w:multiLevelType w:val="hybridMultilevel"/>
    <w:tmpl w:val="EA34598A"/>
    <w:lvl w:ilvl="0" w:tplc="1E6C5B74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40F32"/>
    <w:multiLevelType w:val="hybridMultilevel"/>
    <w:tmpl w:val="C3CC1E7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75886"/>
    <w:multiLevelType w:val="hybridMultilevel"/>
    <w:tmpl w:val="66CAF48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244B9"/>
    <w:multiLevelType w:val="hybridMultilevel"/>
    <w:tmpl w:val="9B24553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01E99"/>
    <w:multiLevelType w:val="hybridMultilevel"/>
    <w:tmpl w:val="1698318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A74"/>
    <w:multiLevelType w:val="hybridMultilevel"/>
    <w:tmpl w:val="DCB0041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F11AD"/>
    <w:multiLevelType w:val="hybridMultilevel"/>
    <w:tmpl w:val="F5FC883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90D"/>
    <w:multiLevelType w:val="hybridMultilevel"/>
    <w:tmpl w:val="8F1CA436"/>
    <w:lvl w:ilvl="0" w:tplc="5BE6142E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AC20A4"/>
    <w:multiLevelType w:val="hybridMultilevel"/>
    <w:tmpl w:val="8666A040"/>
    <w:lvl w:ilvl="0" w:tplc="720464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87CB0"/>
    <w:multiLevelType w:val="hybridMultilevel"/>
    <w:tmpl w:val="B6AA0D54"/>
    <w:lvl w:ilvl="0" w:tplc="829884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A5CFB"/>
    <w:multiLevelType w:val="hybridMultilevel"/>
    <w:tmpl w:val="D0107AD0"/>
    <w:lvl w:ilvl="0" w:tplc="DEC8369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2BA0"/>
    <w:multiLevelType w:val="hybridMultilevel"/>
    <w:tmpl w:val="DCB0041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23A6F"/>
    <w:multiLevelType w:val="hybridMultilevel"/>
    <w:tmpl w:val="FA566A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6534E"/>
    <w:multiLevelType w:val="hybridMultilevel"/>
    <w:tmpl w:val="8838706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5408"/>
    <w:multiLevelType w:val="hybridMultilevel"/>
    <w:tmpl w:val="173232FC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6782D"/>
    <w:multiLevelType w:val="hybridMultilevel"/>
    <w:tmpl w:val="46244A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3CA6"/>
    <w:multiLevelType w:val="hybridMultilevel"/>
    <w:tmpl w:val="37B806C4"/>
    <w:lvl w:ilvl="0" w:tplc="81FAB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909CB"/>
    <w:multiLevelType w:val="multilevel"/>
    <w:tmpl w:val="D4EE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12D59"/>
    <w:multiLevelType w:val="hybridMultilevel"/>
    <w:tmpl w:val="D12878D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34B97"/>
    <w:multiLevelType w:val="hybridMultilevel"/>
    <w:tmpl w:val="05C4AEF2"/>
    <w:lvl w:ilvl="0" w:tplc="F18C377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entury Schoolboo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3848"/>
    <w:multiLevelType w:val="hybridMultilevel"/>
    <w:tmpl w:val="8FB0D4B8"/>
    <w:lvl w:ilvl="0" w:tplc="F774D60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319FA"/>
    <w:multiLevelType w:val="hybridMultilevel"/>
    <w:tmpl w:val="DCB0041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E6F9E"/>
    <w:multiLevelType w:val="hybridMultilevel"/>
    <w:tmpl w:val="26C4B7D0"/>
    <w:lvl w:ilvl="0" w:tplc="19986618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F74AC"/>
    <w:multiLevelType w:val="hybridMultilevel"/>
    <w:tmpl w:val="BBA8AD32"/>
    <w:lvl w:ilvl="0" w:tplc="4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A7410"/>
    <w:multiLevelType w:val="hybridMultilevel"/>
    <w:tmpl w:val="5FEC5A64"/>
    <w:lvl w:ilvl="0" w:tplc="2034B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D5DAB"/>
    <w:multiLevelType w:val="hybridMultilevel"/>
    <w:tmpl w:val="8850DE26"/>
    <w:lvl w:ilvl="0" w:tplc="0F4C15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22C71"/>
    <w:multiLevelType w:val="hybridMultilevel"/>
    <w:tmpl w:val="765AB7EA"/>
    <w:lvl w:ilvl="0" w:tplc="7C2ABF18">
      <w:start w:val="2"/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642F1"/>
    <w:multiLevelType w:val="hybridMultilevel"/>
    <w:tmpl w:val="E18A11DA"/>
    <w:lvl w:ilvl="0" w:tplc="324E2D86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655E51"/>
    <w:multiLevelType w:val="hybridMultilevel"/>
    <w:tmpl w:val="C1C653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F6DF8"/>
    <w:multiLevelType w:val="hybridMultilevel"/>
    <w:tmpl w:val="1C5410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32C6F"/>
    <w:multiLevelType w:val="hybridMultilevel"/>
    <w:tmpl w:val="BEF8E0E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40D90"/>
    <w:multiLevelType w:val="hybridMultilevel"/>
    <w:tmpl w:val="202CBDFE"/>
    <w:lvl w:ilvl="0" w:tplc="AAFE68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6"/>
  </w:num>
  <w:num w:numId="4">
    <w:abstractNumId w:val="3"/>
  </w:num>
  <w:num w:numId="5">
    <w:abstractNumId w:val="21"/>
  </w:num>
  <w:num w:numId="6">
    <w:abstractNumId w:val="3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0"/>
  </w:num>
  <w:num w:numId="12">
    <w:abstractNumId w:val="5"/>
  </w:num>
  <w:num w:numId="13">
    <w:abstractNumId w:val="31"/>
  </w:num>
  <w:num w:numId="14">
    <w:abstractNumId w:val="0"/>
  </w:num>
  <w:num w:numId="15">
    <w:abstractNumId w:val="16"/>
  </w:num>
  <w:num w:numId="16">
    <w:abstractNumId w:val="9"/>
  </w:num>
  <w:num w:numId="17">
    <w:abstractNumId w:val="26"/>
  </w:num>
  <w:num w:numId="18">
    <w:abstractNumId w:val="34"/>
  </w:num>
  <w:num w:numId="19">
    <w:abstractNumId w:val="32"/>
  </w:num>
  <w:num w:numId="20">
    <w:abstractNumId w:val="13"/>
  </w:num>
  <w:num w:numId="21">
    <w:abstractNumId w:val="33"/>
  </w:num>
  <w:num w:numId="22">
    <w:abstractNumId w:val="28"/>
  </w:num>
  <w:num w:numId="23">
    <w:abstractNumId w:val="6"/>
  </w:num>
  <w:num w:numId="24">
    <w:abstractNumId w:val="2"/>
  </w:num>
  <w:num w:numId="25">
    <w:abstractNumId w:val="29"/>
  </w:num>
  <w:num w:numId="26">
    <w:abstractNumId w:val="7"/>
  </w:num>
  <w:num w:numId="27">
    <w:abstractNumId w:val="30"/>
  </w:num>
  <w:num w:numId="28">
    <w:abstractNumId w:va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5"/>
  </w:num>
  <w:num w:numId="32">
    <w:abstractNumId w:val="17"/>
  </w:num>
  <w:num w:numId="33">
    <w:abstractNumId w:val="11"/>
  </w:num>
  <w:num w:numId="34">
    <w:abstractNumId w:val="27"/>
  </w:num>
  <w:num w:numId="35">
    <w:abstractNumId w:val="19"/>
  </w:num>
  <w:num w:numId="36">
    <w:abstractNumId w:val="37"/>
  </w:num>
  <w:num w:numId="37">
    <w:abstractNumId w:val="2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A7"/>
    <w:rsid w:val="00004FCA"/>
    <w:rsid w:val="000058F6"/>
    <w:rsid w:val="00010F85"/>
    <w:rsid w:val="00023702"/>
    <w:rsid w:val="00026D8D"/>
    <w:rsid w:val="00031057"/>
    <w:rsid w:val="00034AC8"/>
    <w:rsid w:val="00051FC9"/>
    <w:rsid w:val="00056CCE"/>
    <w:rsid w:val="00063041"/>
    <w:rsid w:val="00067009"/>
    <w:rsid w:val="00074BA4"/>
    <w:rsid w:val="00076C38"/>
    <w:rsid w:val="00092ED2"/>
    <w:rsid w:val="000A0EB3"/>
    <w:rsid w:val="000A71E2"/>
    <w:rsid w:val="000B5684"/>
    <w:rsid w:val="000C2E00"/>
    <w:rsid w:val="000D1252"/>
    <w:rsid w:val="000D16C8"/>
    <w:rsid w:val="000D1EAE"/>
    <w:rsid w:val="000D20CA"/>
    <w:rsid w:val="000D31C9"/>
    <w:rsid w:val="000D6108"/>
    <w:rsid w:val="000E426C"/>
    <w:rsid w:val="000F23A6"/>
    <w:rsid w:val="00101A2E"/>
    <w:rsid w:val="00106C6D"/>
    <w:rsid w:val="00113E4A"/>
    <w:rsid w:val="00113EC9"/>
    <w:rsid w:val="0012272C"/>
    <w:rsid w:val="00133E8F"/>
    <w:rsid w:val="00144C82"/>
    <w:rsid w:val="00150F78"/>
    <w:rsid w:val="00163B85"/>
    <w:rsid w:val="0016643D"/>
    <w:rsid w:val="0017300F"/>
    <w:rsid w:val="00173C36"/>
    <w:rsid w:val="00175495"/>
    <w:rsid w:val="00175C5C"/>
    <w:rsid w:val="001818C3"/>
    <w:rsid w:val="00190891"/>
    <w:rsid w:val="00190DBD"/>
    <w:rsid w:val="001922CF"/>
    <w:rsid w:val="0019303B"/>
    <w:rsid w:val="001969E5"/>
    <w:rsid w:val="001A08F3"/>
    <w:rsid w:val="001A1450"/>
    <w:rsid w:val="001A34BD"/>
    <w:rsid w:val="001A7272"/>
    <w:rsid w:val="001A79AF"/>
    <w:rsid w:val="001B01F6"/>
    <w:rsid w:val="001B064D"/>
    <w:rsid w:val="001B2B02"/>
    <w:rsid w:val="001B31D3"/>
    <w:rsid w:val="001C5306"/>
    <w:rsid w:val="001D44D5"/>
    <w:rsid w:val="001E07EF"/>
    <w:rsid w:val="001E5354"/>
    <w:rsid w:val="001F71E7"/>
    <w:rsid w:val="00201971"/>
    <w:rsid w:val="00205FE5"/>
    <w:rsid w:val="00216086"/>
    <w:rsid w:val="00220E72"/>
    <w:rsid w:val="0022284D"/>
    <w:rsid w:val="002276F7"/>
    <w:rsid w:val="00230676"/>
    <w:rsid w:val="00235C64"/>
    <w:rsid w:val="002446E1"/>
    <w:rsid w:val="00245EB7"/>
    <w:rsid w:val="00250F17"/>
    <w:rsid w:val="00254427"/>
    <w:rsid w:val="00255594"/>
    <w:rsid w:val="00260965"/>
    <w:rsid w:val="00264521"/>
    <w:rsid w:val="0028300D"/>
    <w:rsid w:val="00291FE6"/>
    <w:rsid w:val="002A1320"/>
    <w:rsid w:val="002A20CE"/>
    <w:rsid w:val="002B6146"/>
    <w:rsid w:val="002C01DF"/>
    <w:rsid w:val="002D404F"/>
    <w:rsid w:val="002E0E7C"/>
    <w:rsid w:val="002E1214"/>
    <w:rsid w:val="002E3133"/>
    <w:rsid w:val="002E7BED"/>
    <w:rsid w:val="002F2B3D"/>
    <w:rsid w:val="0030018C"/>
    <w:rsid w:val="00303E66"/>
    <w:rsid w:val="003136A7"/>
    <w:rsid w:val="0031621D"/>
    <w:rsid w:val="003220BF"/>
    <w:rsid w:val="00332978"/>
    <w:rsid w:val="0033433F"/>
    <w:rsid w:val="003524BD"/>
    <w:rsid w:val="00353704"/>
    <w:rsid w:val="00353F0B"/>
    <w:rsid w:val="00355BF6"/>
    <w:rsid w:val="00375787"/>
    <w:rsid w:val="00375CC7"/>
    <w:rsid w:val="00386561"/>
    <w:rsid w:val="003913DC"/>
    <w:rsid w:val="00394450"/>
    <w:rsid w:val="00395460"/>
    <w:rsid w:val="003B2146"/>
    <w:rsid w:val="003B4DD5"/>
    <w:rsid w:val="003C2510"/>
    <w:rsid w:val="003C2E94"/>
    <w:rsid w:val="003C615A"/>
    <w:rsid w:val="003C68C7"/>
    <w:rsid w:val="003D4705"/>
    <w:rsid w:val="003E6889"/>
    <w:rsid w:val="003F12F7"/>
    <w:rsid w:val="00402069"/>
    <w:rsid w:val="00403722"/>
    <w:rsid w:val="00404CAF"/>
    <w:rsid w:val="00405232"/>
    <w:rsid w:val="00407EB7"/>
    <w:rsid w:val="004131E0"/>
    <w:rsid w:val="004134DC"/>
    <w:rsid w:val="00416C4E"/>
    <w:rsid w:val="00431C95"/>
    <w:rsid w:val="004346CA"/>
    <w:rsid w:val="00435B06"/>
    <w:rsid w:val="00447AA5"/>
    <w:rsid w:val="00455CB1"/>
    <w:rsid w:val="00456956"/>
    <w:rsid w:val="0045749D"/>
    <w:rsid w:val="004574D0"/>
    <w:rsid w:val="00460194"/>
    <w:rsid w:val="004601A2"/>
    <w:rsid w:val="00470816"/>
    <w:rsid w:val="00476ADA"/>
    <w:rsid w:val="0047776D"/>
    <w:rsid w:val="00477E95"/>
    <w:rsid w:val="004837A4"/>
    <w:rsid w:val="00483D18"/>
    <w:rsid w:val="0048758C"/>
    <w:rsid w:val="00492C14"/>
    <w:rsid w:val="00492DA0"/>
    <w:rsid w:val="004A6985"/>
    <w:rsid w:val="004A7033"/>
    <w:rsid w:val="004B48DC"/>
    <w:rsid w:val="004C4760"/>
    <w:rsid w:val="004C625C"/>
    <w:rsid w:val="004D2948"/>
    <w:rsid w:val="004D63EA"/>
    <w:rsid w:val="004D6C34"/>
    <w:rsid w:val="004E177B"/>
    <w:rsid w:val="004E4403"/>
    <w:rsid w:val="004E5D95"/>
    <w:rsid w:val="004F1318"/>
    <w:rsid w:val="005027E5"/>
    <w:rsid w:val="005031DF"/>
    <w:rsid w:val="00503CE9"/>
    <w:rsid w:val="005044AD"/>
    <w:rsid w:val="00505FC3"/>
    <w:rsid w:val="0052442C"/>
    <w:rsid w:val="00527167"/>
    <w:rsid w:val="00530CB5"/>
    <w:rsid w:val="00537627"/>
    <w:rsid w:val="00540EA2"/>
    <w:rsid w:val="00550474"/>
    <w:rsid w:val="0055060E"/>
    <w:rsid w:val="00551BE8"/>
    <w:rsid w:val="00554CB8"/>
    <w:rsid w:val="00556D3A"/>
    <w:rsid w:val="0056103E"/>
    <w:rsid w:val="005630E4"/>
    <w:rsid w:val="0056458F"/>
    <w:rsid w:val="00572F68"/>
    <w:rsid w:val="005A57A7"/>
    <w:rsid w:val="005A5D1F"/>
    <w:rsid w:val="005B5ECB"/>
    <w:rsid w:val="005B77C8"/>
    <w:rsid w:val="005C5172"/>
    <w:rsid w:val="005E09B2"/>
    <w:rsid w:val="005E61D6"/>
    <w:rsid w:val="005E7D7F"/>
    <w:rsid w:val="005F225A"/>
    <w:rsid w:val="005F47A5"/>
    <w:rsid w:val="00602163"/>
    <w:rsid w:val="0060250B"/>
    <w:rsid w:val="00610BB1"/>
    <w:rsid w:val="00613A2B"/>
    <w:rsid w:val="00614369"/>
    <w:rsid w:val="00614A43"/>
    <w:rsid w:val="00623116"/>
    <w:rsid w:val="006258F2"/>
    <w:rsid w:val="00630C78"/>
    <w:rsid w:val="00632F7C"/>
    <w:rsid w:val="00636F99"/>
    <w:rsid w:val="00650F70"/>
    <w:rsid w:val="00653C86"/>
    <w:rsid w:val="006565AC"/>
    <w:rsid w:val="006609A4"/>
    <w:rsid w:val="00664626"/>
    <w:rsid w:val="00671358"/>
    <w:rsid w:val="00673FCA"/>
    <w:rsid w:val="0067763D"/>
    <w:rsid w:val="00687F2F"/>
    <w:rsid w:val="006A5263"/>
    <w:rsid w:val="006B03F1"/>
    <w:rsid w:val="006B13A8"/>
    <w:rsid w:val="006B5E1F"/>
    <w:rsid w:val="006B60E0"/>
    <w:rsid w:val="006B656F"/>
    <w:rsid w:val="006C1CF2"/>
    <w:rsid w:val="006C59F6"/>
    <w:rsid w:val="006D2597"/>
    <w:rsid w:val="006D3FD7"/>
    <w:rsid w:val="006D4B90"/>
    <w:rsid w:val="006E1859"/>
    <w:rsid w:val="006E52A4"/>
    <w:rsid w:val="006E6214"/>
    <w:rsid w:val="006F4B69"/>
    <w:rsid w:val="00702369"/>
    <w:rsid w:val="00704E76"/>
    <w:rsid w:val="00705368"/>
    <w:rsid w:val="00713863"/>
    <w:rsid w:val="00714FFA"/>
    <w:rsid w:val="007231B9"/>
    <w:rsid w:val="007254F4"/>
    <w:rsid w:val="0072674C"/>
    <w:rsid w:val="007443A8"/>
    <w:rsid w:val="007449B4"/>
    <w:rsid w:val="00745044"/>
    <w:rsid w:val="00750B1D"/>
    <w:rsid w:val="00753FD4"/>
    <w:rsid w:val="00760903"/>
    <w:rsid w:val="00766FE5"/>
    <w:rsid w:val="007717D1"/>
    <w:rsid w:val="00774EF1"/>
    <w:rsid w:val="00780D6C"/>
    <w:rsid w:val="00785171"/>
    <w:rsid w:val="00792542"/>
    <w:rsid w:val="00793CA1"/>
    <w:rsid w:val="007A0856"/>
    <w:rsid w:val="007A5B73"/>
    <w:rsid w:val="007B2E4C"/>
    <w:rsid w:val="007C227A"/>
    <w:rsid w:val="007D018F"/>
    <w:rsid w:val="007D0379"/>
    <w:rsid w:val="007D14EF"/>
    <w:rsid w:val="007D3869"/>
    <w:rsid w:val="007D4B92"/>
    <w:rsid w:val="007F0AB7"/>
    <w:rsid w:val="0080495E"/>
    <w:rsid w:val="008053FB"/>
    <w:rsid w:val="00816764"/>
    <w:rsid w:val="00822559"/>
    <w:rsid w:val="008259C0"/>
    <w:rsid w:val="008343FB"/>
    <w:rsid w:val="00836DE4"/>
    <w:rsid w:val="0084096C"/>
    <w:rsid w:val="00841794"/>
    <w:rsid w:val="00842B97"/>
    <w:rsid w:val="00844F14"/>
    <w:rsid w:val="00847BA0"/>
    <w:rsid w:val="008537BC"/>
    <w:rsid w:val="008605EF"/>
    <w:rsid w:val="00870D7F"/>
    <w:rsid w:val="008734BA"/>
    <w:rsid w:val="0089249F"/>
    <w:rsid w:val="008A4E24"/>
    <w:rsid w:val="008B5244"/>
    <w:rsid w:val="008C00F2"/>
    <w:rsid w:val="008D53E0"/>
    <w:rsid w:val="008D5869"/>
    <w:rsid w:val="008D7AE1"/>
    <w:rsid w:val="008E2AAA"/>
    <w:rsid w:val="008E2DAD"/>
    <w:rsid w:val="008F4659"/>
    <w:rsid w:val="008F4E91"/>
    <w:rsid w:val="008F739D"/>
    <w:rsid w:val="009034F3"/>
    <w:rsid w:val="009063BD"/>
    <w:rsid w:val="00906B57"/>
    <w:rsid w:val="00911897"/>
    <w:rsid w:val="00920650"/>
    <w:rsid w:val="00927E9B"/>
    <w:rsid w:val="00934A86"/>
    <w:rsid w:val="00945753"/>
    <w:rsid w:val="00952EB2"/>
    <w:rsid w:val="009564D4"/>
    <w:rsid w:val="00960A42"/>
    <w:rsid w:val="00964490"/>
    <w:rsid w:val="00977B7C"/>
    <w:rsid w:val="009805F7"/>
    <w:rsid w:val="009809AB"/>
    <w:rsid w:val="00985062"/>
    <w:rsid w:val="00995370"/>
    <w:rsid w:val="00997BC3"/>
    <w:rsid w:val="009A26EC"/>
    <w:rsid w:val="009A2B25"/>
    <w:rsid w:val="009A4D0F"/>
    <w:rsid w:val="009B1497"/>
    <w:rsid w:val="009B2C81"/>
    <w:rsid w:val="009B300D"/>
    <w:rsid w:val="009B587A"/>
    <w:rsid w:val="009D1253"/>
    <w:rsid w:val="009D55C9"/>
    <w:rsid w:val="009E0B49"/>
    <w:rsid w:val="009E6401"/>
    <w:rsid w:val="009F00A1"/>
    <w:rsid w:val="00A02A35"/>
    <w:rsid w:val="00A112A0"/>
    <w:rsid w:val="00A16FA7"/>
    <w:rsid w:val="00A2006E"/>
    <w:rsid w:val="00A2401F"/>
    <w:rsid w:val="00A241DD"/>
    <w:rsid w:val="00A2628C"/>
    <w:rsid w:val="00A37FA7"/>
    <w:rsid w:val="00A43390"/>
    <w:rsid w:val="00A44335"/>
    <w:rsid w:val="00A50F75"/>
    <w:rsid w:val="00A5208E"/>
    <w:rsid w:val="00A54B11"/>
    <w:rsid w:val="00A677E5"/>
    <w:rsid w:val="00A91441"/>
    <w:rsid w:val="00A9745E"/>
    <w:rsid w:val="00AA4975"/>
    <w:rsid w:val="00AB393E"/>
    <w:rsid w:val="00AB3A33"/>
    <w:rsid w:val="00AC155C"/>
    <w:rsid w:val="00AC6185"/>
    <w:rsid w:val="00AD1F61"/>
    <w:rsid w:val="00AD6CD4"/>
    <w:rsid w:val="00AE3E7D"/>
    <w:rsid w:val="00AE3F49"/>
    <w:rsid w:val="00AE42E9"/>
    <w:rsid w:val="00AE50C9"/>
    <w:rsid w:val="00AF200D"/>
    <w:rsid w:val="00AF6FB7"/>
    <w:rsid w:val="00AF78E8"/>
    <w:rsid w:val="00B003A8"/>
    <w:rsid w:val="00B12C9C"/>
    <w:rsid w:val="00B15F01"/>
    <w:rsid w:val="00B22664"/>
    <w:rsid w:val="00B31272"/>
    <w:rsid w:val="00B33175"/>
    <w:rsid w:val="00B42F96"/>
    <w:rsid w:val="00B57C39"/>
    <w:rsid w:val="00B60B8C"/>
    <w:rsid w:val="00B62B27"/>
    <w:rsid w:val="00B66F61"/>
    <w:rsid w:val="00B736E8"/>
    <w:rsid w:val="00B75C86"/>
    <w:rsid w:val="00B80E4A"/>
    <w:rsid w:val="00B85315"/>
    <w:rsid w:val="00B91F93"/>
    <w:rsid w:val="00B92CDE"/>
    <w:rsid w:val="00BA07BB"/>
    <w:rsid w:val="00BA383F"/>
    <w:rsid w:val="00BA3A24"/>
    <w:rsid w:val="00BA45AE"/>
    <w:rsid w:val="00BB3D49"/>
    <w:rsid w:val="00BB63E1"/>
    <w:rsid w:val="00BB6683"/>
    <w:rsid w:val="00BC2C04"/>
    <w:rsid w:val="00BC5B94"/>
    <w:rsid w:val="00BC72ED"/>
    <w:rsid w:val="00BE14E8"/>
    <w:rsid w:val="00BE5F13"/>
    <w:rsid w:val="00BF0F8B"/>
    <w:rsid w:val="00BF2A06"/>
    <w:rsid w:val="00BF6845"/>
    <w:rsid w:val="00BF70F2"/>
    <w:rsid w:val="00C12854"/>
    <w:rsid w:val="00C12C0A"/>
    <w:rsid w:val="00C17129"/>
    <w:rsid w:val="00C23954"/>
    <w:rsid w:val="00C239E7"/>
    <w:rsid w:val="00C27CCD"/>
    <w:rsid w:val="00C31D4E"/>
    <w:rsid w:val="00C33800"/>
    <w:rsid w:val="00C44804"/>
    <w:rsid w:val="00C46CBC"/>
    <w:rsid w:val="00C46DD0"/>
    <w:rsid w:val="00C46F4F"/>
    <w:rsid w:val="00C51D05"/>
    <w:rsid w:val="00C563C0"/>
    <w:rsid w:val="00C60E6E"/>
    <w:rsid w:val="00C62BCC"/>
    <w:rsid w:val="00C633CC"/>
    <w:rsid w:val="00C868D2"/>
    <w:rsid w:val="00C967D6"/>
    <w:rsid w:val="00CA22E5"/>
    <w:rsid w:val="00CA346A"/>
    <w:rsid w:val="00CB04E9"/>
    <w:rsid w:val="00CB2A7B"/>
    <w:rsid w:val="00CB589F"/>
    <w:rsid w:val="00CB5FE8"/>
    <w:rsid w:val="00CB6C3E"/>
    <w:rsid w:val="00CC3CDE"/>
    <w:rsid w:val="00CC4D9C"/>
    <w:rsid w:val="00CD598D"/>
    <w:rsid w:val="00CD6229"/>
    <w:rsid w:val="00CE60BF"/>
    <w:rsid w:val="00CF6494"/>
    <w:rsid w:val="00D00E68"/>
    <w:rsid w:val="00D03829"/>
    <w:rsid w:val="00D15B44"/>
    <w:rsid w:val="00D1720C"/>
    <w:rsid w:val="00D325BB"/>
    <w:rsid w:val="00D427A8"/>
    <w:rsid w:val="00D42B9E"/>
    <w:rsid w:val="00D44145"/>
    <w:rsid w:val="00D443ED"/>
    <w:rsid w:val="00D470E4"/>
    <w:rsid w:val="00D47214"/>
    <w:rsid w:val="00D50A9A"/>
    <w:rsid w:val="00D62498"/>
    <w:rsid w:val="00D72DF3"/>
    <w:rsid w:val="00D84239"/>
    <w:rsid w:val="00DA7A55"/>
    <w:rsid w:val="00DB387E"/>
    <w:rsid w:val="00DC0AED"/>
    <w:rsid w:val="00DD2EE5"/>
    <w:rsid w:val="00DE4558"/>
    <w:rsid w:val="00E004F6"/>
    <w:rsid w:val="00E01130"/>
    <w:rsid w:val="00E04B3E"/>
    <w:rsid w:val="00E04D2F"/>
    <w:rsid w:val="00E22886"/>
    <w:rsid w:val="00E2290D"/>
    <w:rsid w:val="00E346CB"/>
    <w:rsid w:val="00E41299"/>
    <w:rsid w:val="00E42A90"/>
    <w:rsid w:val="00E43492"/>
    <w:rsid w:val="00E44F1B"/>
    <w:rsid w:val="00E4741B"/>
    <w:rsid w:val="00E54A69"/>
    <w:rsid w:val="00E553B1"/>
    <w:rsid w:val="00E5737A"/>
    <w:rsid w:val="00E62CDB"/>
    <w:rsid w:val="00E64FCA"/>
    <w:rsid w:val="00E6561C"/>
    <w:rsid w:val="00E67654"/>
    <w:rsid w:val="00E71CFE"/>
    <w:rsid w:val="00E826F6"/>
    <w:rsid w:val="00E8318F"/>
    <w:rsid w:val="00EA1D42"/>
    <w:rsid w:val="00EA2A99"/>
    <w:rsid w:val="00EB0481"/>
    <w:rsid w:val="00EB7934"/>
    <w:rsid w:val="00EC27BF"/>
    <w:rsid w:val="00EC6D7A"/>
    <w:rsid w:val="00ED262F"/>
    <w:rsid w:val="00ED3B49"/>
    <w:rsid w:val="00ED69FE"/>
    <w:rsid w:val="00EE023C"/>
    <w:rsid w:val="00EE147D"/>
    <w:rsid w:val="00EE1AD8"/>
    <w:rsid w:val="00EE33A1"/>
    <w:rsid w:val="00EF1F60"/>
    <w:rsid w:val="00F12621"/>
    <w:rsid w:val="00F16587"/>
    <w:rsid w:val="00F17C44"/>
    <w:rsid w:val="00F213FB"/>
    <w:rsid w:val="00F22BAE"/>
    <w:rsid w:val="00F231DB"/>
    <w:rsid w:val="00F25DC3"/>
    <w:rsid w:val="00F31400"/>
    <w:rsid w:val="00F42916"/>
    <w:rsid w:val="00F43020"/>
    <w:rsid w:val="00F51AC3"/>
    <w:rsid w:val="00F552F1"/>
    <w:rsid w:val="00F575D9"/>
    <w:rsid w:val="00F65CE9"/>
    <w:rsid w:val="00F915D4"/>
    <w:rsid w:val="00F96816"/>
    <w:rsid w:val="00FA2AE0"/>
    <w:rsid w:val="00FA427B"/>
    <w:rsid w:val="00FA65E6"/>
    <w:rsid w:val="00FB2E6D"/>
    <w:rsid w:val="00FB32FA"/>
    <w:rsid w:val="00FD0DB2"/>
    <w:rsid w:val="00FD1023"/>
    <w:rsid w:val="00FD4F62"/>
    <w:rsid w:val="00FD6B8C"/>
    <w:rsid w:val="00FE1A13"/>
    <w:rsid w:val="00FE1D09"/>
    <w:rsid w:val="00FE2D4D"/>
    <w:rsid w:val="00FE2E7D"/>
    <w:rsid w:val="00FE3B54"/>
    <w:rsid w:val="00FE6B7B"/>
    <w:rsid w:val="00FF2ED2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7D33FAA"/>
  <w15:docId w15:val="{95342765-A2B2-4010-BA60-93B7721B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character" w:styleId="Hipervnculo">
    <w:name w:val="Hyperlink"/>
    <w:basedOn w:val="Fuentedeprrafopredeter"/>
    <w:uiPriority w:val="99"/>
    <w:unhideWhenUsed/>
    <w:rsid w:val="007D03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55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FE6B7B"/>
    <w:pPr>
      <w:ind w:left="720"/>
      <w:contextualSpacing/>
    </w:pPr>
  </w:style>
  <w:style w:type="table" w:customStyle="1" w:styleId="Tabladecuadrcula1clara1">
    <w:name w:val="Tabla de cuadrícula 1 clara1"/>
    <w:basedOn w:val="Tablanormal"/>
    <w:uiPriority w:val="46"/>
    <w:rsid w:val="006A52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27E5"/>
    <w:rPr>
      <w:color w:val="605E5C"/>
      <w:shd w:val="clear" w:color="auto" w:fill="E1DFDD"/>
    </w:rPr>
  </w:style>
  <w:style w:type="character" w:customStyle="1" w:styleId="object">
    <w:name w:val="object"/>
    <w:basedOn w:val="Fuentedeprrafopredeter"/>
    <w:rsid w:val="00DE4558"/>
  </w:style>
  <w:style w:type="paragraph" w:styleId="Textodeglobo">
    <w:name w:val="Balloon Text"/>
    <w:basedOn w:val="Normal"/>
    <w:link w:val="TextodegloboCar"/>
    <w:uiPriority w:val="99"/>
    <w:semiHidden/>
    <w:unhideWhenUsed/>
    <w:rsid w:val="002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B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SV"/>
    </w:rPr>
  </w:style>
  <w:style w:type="paragraph" w:styleId="NormalWeb">
    <w:name w:val="Normal (Web)"/>
    <w:basedOn w:val="Normal"/>
    <w:uiPriority w:val="99"/>
    <w:semiHidden/>
    <w:unhideWhenUsed/>
    <w:rsid w:val="007D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/>
    </w:rPr>
  </w:style>
  <w:style w:type="character" w:styleId="Textoennegrita">
    <w:name w:val="Strong"/>
    <w:basedOn w:val="Fuentedeprrafopredeter"/>
    <w:uiPriority w:val="22"/>
    <w:qFormat/>
    <w:rsid w:val="007D3869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D4705"/>
    <w:pPr>
      <w:widowControl w:val="0"/>
      <w:autoSpaceDE w:val="0"/>
      <w:autoSpaceDN w:val="0"/>
      <w:spacing w:after="0" w:line="240" w:lineRule="auto"/>
      <w:ind w:left="20"/>
      <w:jc w:val="both"/>
    </w:pPr>
    <w:rPr>
      <w:sz w:val="19"/>
      <w:szCs w:val="19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705"/>
    <w:rPr>
      <w:sz w:val="19"/>
      <w:szCs w:val="19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3C2E94"/>
    <w:pPr>
      <w:spacing w:after="0" w:line="240" w:lineRule="auto"/>
    </w:pPr>
    <w:rPr>
      <w:rFonts w:ascii="Calibri" w:eastAsia="Calibri" w:hAnsi="Calibri" w:cs="Times New Roman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C2E94"/>
    <w:rPr>
      <w:rFonts w:ascii="Calibri" w:eastAsia="Calibri" w:hAnsi="Calibri" w:cs="Times New Roman"/>
      <w:sz w:val="22"/>
      <w:szCs w:val="21"/>
      <w:lang w:val="es-SV" w:eastAsia="en-US"/>
    </w:rPr>
  </w:style>
  <w:style w:type="character" w:styleId="nfasis">
    <w:name w:val="Emphasis"/>
    <w:basedOn w:val="Fuentedeprrafopredeter"/>
    <w:uiPriority w:val="20"/>
    <w:qFormat/>
    <w:rsid w:val="004131E0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7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576995-36A1-47AB-9B31-8B66AF66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Laura Lisett Centeno Zavaleta</cp:lastModifiedBy>
  <cp:revision>3</cp:revision>
  <cp:lastPrinted>2021-05-20T15:57:00Z</cp:lastPrinted>
  <dcterms:created xsi:type="dcterms:W3CDTF">2021-07-29T15:34:00Z</dcterms:created>
  <dcterms:modified xsi:type="dcterms:W3CDTF">2021-07-29T15:35:00Z</dcterms:modified>
</cp:coreProperties>
</file>