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43" w:rsidRDefault="00A91343" w:rsidP="00A91343">
      <w:pPr>
        <w:spacing w:after="0" w:line="240" w:lineRule="auto"/>
        <w:jc w:val="center"/>
        <w:rPr>
          <w:rFonts w:cstheme="minorHAnsi"/>
          <w:b/>
          <w:spacing w:val="120"/>
          <w:u w:val="single"/>
        </w:rPr>
      </w:pPr>
    </w:p>
    <w:p w:rsidR="00A91343" w:rsidRDefault="00A91343" w:rsidP="00A91343">
      <w:pPr>
        <w:spacing w:after="0" w:line="240" w:lineRule="auto"/>
        <w:jc w:val="center"/>
        <w:rPr>
          <w:rFonts w:cstheme="minorHAnsi"/>
          <w:b/>
          <w:spacing w:val="120"/>
          <w:u w:val="single"/>
        </w:rPr>
      </w:pPr>
    </w:p>
    <w:p w:rsidR="00A91343" w:rsidRDefault="00A91343" w:rsidP="00A91343">
      <w:pPr>
        <w:spacing w:after="0" w:line="240" w:lineRule="auto"/>
        <w:jc w:val="center"/>
        <w:rPr>
          <w:rFonts w:cstheme="minorHAnsi"/>
          <w:b/>
          <w:spacing w:val="120"/>
          <w:u w:val="single"/>
        </w:rPr>
      </w:pPr>
    </w:p>
    <w:p w:rsidR="00A91343" w:rsidRDefault="00A91343" w:rsidP="00A91343">
      <w:pPr>
        <w:spacing w:after="0" w:line="240" w:lineRule="auto"/>
        <w:jc w:val="center"/>
        <w:rPr>
          <w:rFonts w:cstheme="minorHAnsi"/>
          <w:b/>
          <w:spacing w:val="120"/>
          <w:u w:val="single"/>
        </w:rPr>
      </w:pPr>
      <w:r w:rsidRPr="0077484A">
        <w:rPr>
          <w:rFonts w:cstheme="minorHAnsi"/>
          <w:b/>
          <w:spacing w:val="120"/>
          <w:u w:val="single"/>
        </w:rPr>
        <w:t>MEMORÁNDUM</w:t>
      </w:r>
    </w:p>
    <w:p w:rsidR="00A91343" w:rsidRDefault="00A91343" w:rsidP="00A91343">
      <w:pPr>
        <w:spacing w:after="0" w:line="240" w:lineRule="auto"/>
        <w:jc w:val="right"/>
        <w:rPr>
          <w:rFonts w:cstheme="minorHAnsi"/>
          <w:b/>
        </w:rPr>
      </w:pPr>
    </w:p>
    <w:p w:rsidR="00A91343" w:rsidRPr="0077484A" w:rsidRDefault="006110FD" w:rsidP="00A91343">
      <w:pPr>
        <w:spacing w:after="0" w:line="240" w:lineRule="auto"/>
        <w:jc w:val="right"/>
        <w:rPr>
          <w:rFonts w:cstheme="minorHAnsi"/>
          <w:b/>
          <w:spacing w:val="120"/>
          <w:u w:val="single"/>
        </w:rPr>
      </w:pPr>
      <w:r>
        <w:rPr>
          <w:rFonts w:cstheme="minorHAnsi"/>
          <w:b/>
        </w:rPr>
        <w:t>SDDI/228</w:t>
      </w:r>
      <w:r w:rsidR="00A91343" w:rsidRPr="0077484A">
        <w:rPr>
          <w:rFonts w:cstheme="minorHAnsi"/>
          <w:b/>
        </w:rPr>
        <w:t>/2021.</w:t>
      </w:r>
    </w:p>
    <w:p w:rsidR="00A91343" w:rsidRPr="0077484A" w:rsidRDefault="00A91343" w:rsidP="00A91343">
      <w:pPr>
        <w:spacing w:after="0" w:line="240" w:lineRule="auto"/>
        <w:jc w:val="both"/>
        <w:rPr>
          <w:rFonts w:cstheme="minorHAnsi"/>
          <w:b/>
        </w:rPr>
      </w:pPr>
    </w:p>
    <w:p w:rsidR="00A91343" w:rsidRPr="006C28C5" w:rsidRDefault="00A91343" w:rsidP="00A91343">
      <w:pPr>
        <w:spacing w:after="0" w:line="240" w:lineRule="auto"/>
        <w:jc w:val="both"/>
        <w:rPr>
          <w:rFonts w:cstheme="minorHAnsi"/>
        </w:rPr>
      </w:pPr>
      <w:r w:rsidRPr="0077484A">
        <w:rPr>
          <w:rFonts w:cstheme="minorHAnsi"/>
          <w:b/>
        </w:rPr>
        <w:t>Para:</w:t>
      </w:r>
      <w:r w:rsidRPr="0077484A">
        <w:rPr>
          <w:rFonts w:cstheme="minorHAnsi"/>
          <w:b/>
        </w:rPr>
        <w:tab/>
        <w:t xml:space="preserve">    </w:t>
      </w:r>
      <w:r w:rsidRPr="0077484A">
        <w:rPr>
          <w:rFonts w:cstheme="minorHAnsi"/>
          <w:b/>
        </w:rPr>
        <w:tab/>
      </w:r>
      <w:r>
        <w:rPr>
          <w:rFonts w:cstheme="minorHAnsi"/>
          <w:b/>
        </w:rPr>
        <w:t>Laura Lisett Centeno Zavaleta.</w:t>
      </w:r>
    </w:p>
    <w:p w:rsidR="00A91343" w:rsidRPr="0077484A" w:rsidRDefault="00A91343" w:rsidP="00A91343">
      <w:pPr>
        <w:spacing w:after="0" w:line="240" w:lineRule="auto"/>
        <w:ind w:left="1410"/>
        <w:jc w:val="both"/>
        <w:rPr>
          <w:rFonts w:cstheme="minorHAnsi"/>
        </w:rPr>
      </w:pPr>
      <w:r>
        <w:rPr>
          <w:rFonts w:cstheme="minorHAnsi"/>
        </w:rPr>
        <w:t>Oficial de Información</w:t>
      </w:r>
    </w:p>
    <w:p w:rsidR="00A91343" w:rsidRPr="0077484A" w:rsidRDefault="00A91343" w:rsidP="00A91343">
      <w:pPr>
        <w:spacing w:after="0" w:line="240" w:lineRule="auto"/>
        <w:ind w:left="1416"/>
        <w:jc w:val="both"/>
        <w:rPr>
          <w:rFonts w:cstheme="minorHAnsi"/>
        </w:rPr>
      </w:pPr>
    </w:p>
    <w:p w:rsidR="00A91343" w:rsidRPr="0077484A" w:rsidRDefault="00A91343" w:rsidP="00A91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De:</w:t>
      </w:r>
      <w:r>
        <w:rPr>
          <w:rFonts w:cstheme="minorHAnsi"/>
          <w:b/>
        </w:rPr>
        <w:tab/>
        <w:t xml:space="preserve">     </w:t>
      </w:r>
      <w:r>
        <w:rPr>
          <w:rFonts w:cstheme="minorHAnsi"/>
          <w:b/>
        </w:rPr>
        <w:tab/>
      </w:r>
      <w:r w:rsidRPr="0077484A">
        <w:rPr>
          <w:rFonts w:cstheme="minorHAnsi"/>
          <w:b/>
        </w:rPr>
        <w:t xml:space="preserve">Licda. Glenda </w:t>
      </w:r>
      <w:r>
        <w:rPr>
          <w:rFonts w:cstheme="minorHAnsi"/>
          <w:b/>
        </w:rPr>
        <w:t xml:space="preserve">Evelyn </w:t>
      </w:r>
      <w:r w:rsidRPr="0077484A">
        <w:rPr>
          <w:rFonts w:cstheme="minorHAnsi"/>
          <w:b/>
        </w:rPr>
        <w:t>Aguilar</w:t>
      </w:r>
      <w:r>
        <w:rPr>
          <w:rFonts w:cstheme="minorHAnsi"/>
          <w:b/>
        </w:rPr>
        <w:t xml:space="preserve"> Chávez.</w:t>
      </w:r>
    </w:p>
    <w:p w:rsidR="00A91343" w:rsidRPr="0077484A" w:rsidRDefault="00A91343" w:rsidP="00A91343">
      <w:pPr>
        <w:spacing w:after="0" w:line="240" w:lineRule="auto"/>
        <w:ind w:left="1410"/>
        <w:jc w:val="both"/>
        <w:rPr>
          <w:rFonts w:cstheme="minorHAnsi"/>
        </w:rPr>
      </w:pPr>
      <w:r w:rsidRPr="0077484A">
        <w:rPr>
          <w:rFonts w:cstheme="minorHAnsi"/>
        </w:rPr>
        <w:t>Sub Directora de Defensa de Derechos Individuales</w:t>
      </w:r>
    </w:p>
    <w:p w:rsidR="00A91343" w:rsidRPr="0077484A" w:rsidRDefault="00A91343" w:rsidP="00A91343">
      <w:pPr>
        <w:spacing w:after="0" w:line="240" w:lineRule="auto"/>
        <w:jc w:val="both"/>
        <w:rPr>
          <w:rFonts w:cstheme="minorHAnsi"/>
          <w:b/>
        </w:rPr>
      </w:pPr>
    </w:p>
    <w:p w:rsidR="00A91343" w:rsidRPr="0077484A" w:rsidRDefault="00A91343" w:rsidP="00A91343">
      <w:pPr>
        <w:spacing w:after="0" w:line="240" w:lineRule="auto"/>
        <w:ind w:left="1410" w:hanging="1410"/>
        <w:jc w:val="both"/>
        <w:rPr>
          <w:rFonts w:cstheme="minorHAnsi"/>
          <w:b/>
        </w:rPr>
      </w:pPr>
      <w:r w:rsidRPr="0077484A">
        <w:rPr>
          <w:rFonts w:cstheme="minorHAnsi"/>
          <w:b/>
        </w:rPr>
        <w:t>A</w:t>
      </w:r>
      <w:r>
        <w:rPr>
          <w:rFonts w:cstheme="minorHAnsi"/>
          <w:b/>
        </w:rPr>
        <w:t>sunto:              Respuesta de solicitud de información recibida 0013-2021.</w:t>
      </w:r>
    </w:p>
    <w:p w:rsidR="00A91343" w:rsidRPr="0077484A" w:rsidRDefault="00A91343" w:rsidP="00A91343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A91343" w:rsidRPr="0077484A" w:rsidRDefault="00A91343" w:rsidP="00A91343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</w:rPr>
      </w:pPr>
      <w:r w:rsidRPr="0077484A">
        <w:rPr>
          <w:rFonts w:cstheme="minorHAnsi"/>
          <w:b/>
        </w:rPr>
        <w:t>Fecha:</w:t>
      </w:r>
      <w:r w:rsidRPr="0077484A">
        <w:rPr>
          <w:rFonts w:cstheme="minorHAnsi"/>
        </w:rPr>
        <w:tab/>
      </w:r>
      <w:r>
        <w:rPr>
          <w:rFonts w:cstheme="minorHAnsi"/>
        </w:rPr>
        <w:tab/>
        <w:t xml:space="preserve"> 15 de </w:t>
      </w:r>
      <w:r w:rsidR="001E3664">
        <w:rPr>
          <w:rFonts w:cstheme="minorHAnsi"/>
        </w:rPr>
        <w:t>abril</w:t>
      </w:r>
      <w:r>
        <w:rPr>
          <w:rFonts w:cstheme="minorHAnsi"/>
        </w:rPr>
        <w:t xml:space="preserve"> </w:t>
      </w:r>
      <w:r w:rsidRPr="0077484A">
        <w:rPr>
          <w:rFonts w:cstheme="minorHAnsi"/>
        </w:rPr>
        <w:t xml:space="preserve"> de 2021</w:t>
      </w:r>
    </w:p>
    <w:p w:rsidR="00A91343" w:rsidRPr="0077484A" w:rsidRDefault="00A91343" w:rsidP="00A91343">
      <w:pPr>
        <w:spacing w:after="0" w:line="240" w:lineRule="auto"/>
        <w:jc w:val="both"/>
        <w:rPr>
          <w:rFonts w:cstheme="minorHAnsi"/>
        </w:rPr>
      </w:pPr>
    </w:p>
    <w:p w:rsidR="00A91343" w:rsidRDefault="00A91343" w:rsidP="00A91343">
      <w:pPr>
        <w:spacing w:after="0" w:line="240" w:lineRule="auto"/>
        <w:jc w:val="both"/>
        <w:rPr>
          <w:rFonts w:cstheme="minorHAnsi"/>
        </w:rPr>
      </w:pPr>
      <w:r w:rsidRPr="009403D6">
        <w:rPr>
          <w:rFonts w:cstheme="minorHAnsi"/>
        </w:rPr>
        <w:t>Le saludo cordialmente, deseándole éxitos en el desempeño de sus labores diarias en beneficio de la niñez y la adolescencia en nuestro país.</w:t>
      </w:r>
    </w:p>
    <w:p w:rsidR="00A91343" w:rsidRDefault="00A91343" w:rsidP="00A91343">
      <w:pPr>
        <w:spacing w:after="0" w:line="240" w:lineRule="auto"/>
        <w:jc w:val="both"/>
        <w:rPr>
          <w:rFonts w:cstheme="minorHAnsi"/>
        </w:rPr>
      </w:pPr>
    </w:p>
    <w:p w:rsidR="00A91343" w:rsidRDefault="00A91343" w:rsidP="00A913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 le da respuesta a los memorándum UAIP/043/2021</w:t>
      </w:r>
      <w:r w:rsidR="00331545">
        <w:rPr>
          <w:rFonts w:cstheme="minorHAnsi"/>
        </w:rPr>
        <w:t xml:space="preserve"> y UAIP/046/2021</w:t>
      </w:r>
      <w:r w:rsidR="00040D2D">
        <w:rPr>
          <w:rFonts w:cstheme="minorHAnsi"/>
        </w:rPr>
        <w:t>, en cuanto a las interrogantes siguientes:</w:t>
      </w:r>
    </w:p>
    <w:p w:rsidR="00040D2D" w:rsidRDefault="00040D2D" w:rsidP="00A91343">
      <w:pPr>
        <w:spacing w:after="0" w:line="240" w:lineRule="auto"/>
        <w:jc w:val="both"/>
        <w:rPr>
          <w:rFonts w:cstheme="minorHAnsi"/>
        </w:rPr>
      </w:pPr>
    </w:p>
    <w:p w:rsidR="00040D2D" w:rsidRPr="006110FD" w:rsidRDefault="00040D2D" w:rsidP="00040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6110FD">
        <w:rPr>
          <w:rFonts w:cstheme="minorHAnsi"/>
          <w:b/>
        </w:rPr>
        <w:t>Número de niños, niñas  y adolescentes que han sido atendidos en el Programa de Protección de Derechos  y que, posteriormente, han sido reportados como fallecidos entre los años 2017 y 2020. Solicito el dato segregado por año y por mes. También pido que se especifique qué tipos de medidas de protección fueron aplicadas en cada caso y las cusas de las muertes de los niños, niñas y adolescentes.</w:t>
      </w:r>
    </w:p>
    <w:p w:rsidR="00040D2D" w:rsidRPr="006110FD" w:rsidRDefault="00040D2D" w:rsidP="00040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6110FD">
        <w:rPr>
          <w:rFonts w:cstheme="minorHAnsi"/>
          <w:b/>
        </w:rPr>
        <w:t>Número de niños, niñas y adolescentes atendidos entres los años 2017 y 2020 en el Programa de Protección de Derechos. Solicito información segregada por años, meses y tipo de medidas de protección aplicadas.</w:t>
      </w:r>
    </w:p>
    <w:p w:rsidR="00040D2D" w:rsidRPr="006110FD" w:rsidRDefault="00040D2D" w:rsidP="00040D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6110FD">
        <w:rPr>
          <w:rFonts w:cstheme="minorHAnsi"/>
          <w:b/>
        </w:rPr>
        <w:t xml:space="preserve">Número de adopciones autorizadas entre los años 2017 y 2020. Solicito la información segregada por años y meses.  </w:t>
      </w:r>
    </w:p>
    <w:p w:rsidR="00040D2D" w:rsidRPr="009403D6" w:rsidRDefault="00040D2D" w:rsidP="00A91343">
      <w:pPr>
        <w:spacing w:after="0" w:line="240" w:lineRule="auto"/>
        <w:jc w:val="both"/>
        <w:rPr>
          <w:rFonts w:cstheme="minorHAnsi"/>
        </w:rPr>
      </w:pPr>
    </w:p>
    <w:p w:rsidR="0052443E" w:rsidRDefault="002212AA" w:rsidP="00943175">
      <w:pPr>
        <w:jc w:val="both"/>
        <w:rPr>
          <w:rFonts w:cstheme="minorHAnsi"/>
        </w:rPr>
      </w:pPr>
      <w:r>
        <w:t xml:space="preserve">En cuanto a la los numerales 1 </w:t>
      </w:r>
      <w:r w:rsidR="0064455F">
        <w:t>y 2 sobre lo referente a los niños, niñas y adolescentes atendidos en el</w:t>
      </w:r>
      <w:r w:rsidR="0064455F" w:rsidRPr="00040D2D">
        <w:rPr>
          <w:rFonts w:cstheme="minorHAnsi"/>
        </w:rPr>
        <w:t xml:space="preserve"> Programa de Protección de Derechos</w:t>
      </w:r>
      <w:r w:rsidR="0064455F">
        <w:rPr>
          <w:rFonts w:cstheme="minorHAnsi"/>
        </w:rPr>
        <w:t xml:space="preserve">, el CONNA, su función principal es diseño, aprobación y vigilancia de la Política Nacional </w:t>
      </w:r>
      <w:r w:rsidR="0064455F" w:rsidRPr="00040D2D">
        <w:rPr>
          <w:rFonts w:cstheme="minorHAnsi"/>
        </w:rPr>
        <w:t xml:space="preserve">  </w:t>
      </w:r>
      <w:r w:rsidR="0064455F">
        <w:rPr>
          <w:rFonts w:cstheme="minorHAnsi"/>
        </w:rPr>
        <w:t>de Protección Integral de la Niñez y Adolescencia y del Sistema Nacional de Protección Integral de la Niñez y Adolescencia según lo establece el artículo 134 LEPINA</w:t>
      </w:r>
      <w:r w:rsidR="00943175">
        <w:rPr>
          <w:rFonts w:cstheme="minorHAnsi"/>
        </w:rPr>
        <w:t>, asimismo, la ley establece que el Instituto Salvadoreño para el Desarrollo Integral de la Niñez y la Ad</w:t>
      </w:r>
      <w:r w:rsidR="00793D96">
        <w:rPr>
          <w:rFonts w:cstheme="minorHAnsi"/>
        </w:rPr>
        <w:t>olescencia ISNA, es el encargado</w:t>
      </w:r>
      <w:r w:rsidR="00943175">
        <w:rPr>
          <w:rFonts w:cstheme="minorHAnsi"/>
        </w:rPr>
        <w:t xml:space="preserve"> de desarrollar programas según lo establece articulo 180 </w:t>
      </w:r>
      <w:proofErr w:type="spellStart"/>
      <w:r w:rsidR="00943175">
        <w:rPr>
          <w:rFonts w:cstheme="minorHAnsi"/>
        </w:rPr>
        <w:t>lit.</w:t>
      </w:r>
      <w:proofErr w:type="spellEnd"/>
      <w:r w:rsidR="00943175">
        <w:rPr>
          <w:rFonts w:cstheme="minorHAnsi"/>
        </w:rPr>
        <w:t xml:space="preserve"> d) de la LEPINA, por lo tanto la información que se está solicitando no se posee, además de los niños, niñas y adolescentes fallecidos en los años 2017 y 2020 tampoco se posee, no existe esa </w:t>
      </w:r>
      <w:r w:rsidR="00793D96">
        <w:rPr>
          <w:rFonts w:cstheme="minorHAnsi"/>
        </w:rPr>
        <w:t>informació</w:t>
      </w:r>
      <w:r w:rsidR="00943175">
        <w:rPr>
          <w:rFonts w:cstheme="minorHAnsi"/>
        </w:rPr>
        <w:t>n</w:t>
      </w:r>
      <w:r w:rsidR="00793D96">
        <w:rPr>
          <w:rFonts w:cstheme="minorHAnsi"/>
        </w:rPr>
        <w:t xml:space="preserve"> en virtud que una de las responsabilidades de</w:t>
      </w:r>
      <w:r w:rsidR="001E3664">
        <w:rPr>
          <w:rFonts w:cstheme="minorHAnsi"/>
        </w:rPr>
        <w:t xml:space="preserve"> </w:t>
      </w:r>
      <w:r w:rsidR="00793D96">
        <w:rPr>
          <w:rFonts w:cstheme="minorHAnsi"/>
        </w:rPr>
        <w:t>la</w:t>
      </w:r>
      <w:r w:rsidR="001E3664">
        <w:rPr>
          <w:rFonts w:cstheme="minorHAnsi"/>
        </w:rPr>
        <w:t>s</w:t>
      </w:r>
      <w:r w:rsidR="00793D96">
        <w:rPr>
          <w:rFonts w:cstheme="minorHAnsi"/>
        </w:rPr>
        <w:t xml:space="preserve"> Juntas de Protección es la restitución </w:t>
      </w:r>
      <w:r w:rsidR="001E3664">
        <w:rPr>
          <w:rFonts w:cstheme="minorHAnsi"/>
        </w:rPr>
        <w:t xml:space="preserve">de </w:t>
      </w:r>
      <w:r w:rsidR="00793D96">
        <w:rPr>
          <w:rFonts w:cstheme="minorHAnsi"/>
        </w:rPr>
        <w:t>derechos y la vida es un derecho que no se puede restituir</w:t>
      </w:r>
      <w:r w:rsidR="00943175">
        <w:rPr>
          <w:rFonts w:cstheme="minorHAnsi"/>
        </w:rPr>
        <w:t>.</w:t>
      </w:r>
      <w:r w:rsidR="00C74A4B">
        <w:rPr>
          <w:rFonts w:cstheme="minorHAnsi"/>
        </w:rPr>
        <w:t xml:space="preserve"> </w:t>
      </w:r>
      <w:r w:rsidR="00793D96">
        <w:rPr>
          <w:rFonts w:cstheme="minorHAnsi"/>
        </w:rPr>
        <w:t>En el caso de</w:t>
      </w:r>
      <w:r w:rsidR="00C74A4B">
        <w:rPr>
          <w:rFonts w:cstheme="minorHAnsi"/>
        </w:rPr>
        <w:t xml:space="preserve"> datos de los niños, niñas y adolescentes que se han atendido le invitamos </w:t>
      </w:r>
      <w:r w:rsidR="006110FD">
        <w:rPr>
          <w:rFonts w:cstheme="minorHAnsi"/>
        </w:rPr>
        <w:t xml:space="preserve">acceda al sitio web: </w:t>
      </w:r>
      <w:hyperlink r:id="rId7" w:history="1">
        <w:r w:rsidR="006110FD" w:rsidRPr="007447CD">
          <w:rPr>
            <w:rStyle w:val="Hipervnculo"/>
            <w:rFonts w:cstheme="minorHAnsi"/>
          </w:rPr>
          <w:t>http://app.conna.gob.sv/sinaes/</w:t>
        </w:r>
      </w:hyperlink>
      <w:r w:rsidR="006110FD">
        <w:rPr>
          <w:rFonts w:cstheme="minorHAnsi"/>
        </w:rPr>
        <w:t xml:space="preserve"> que es el sistema de información de Niñez y Adolescencia.</w:t>
      </w:r>
    </w:p>
    <w:p w:rsidR="006110FD" w:rsidRDefault="006110FD" w:rsidP="00943175">
      <w:pPr>
        <w:jc w:val="both"/>
        <w:rPr>
          <w:rFonts w:cstheme="minorHAnsi"/>
        </w:rPr>
      </w:pPr>
    </w:p>
    <w:p w:rsidR="006110FD" w:rsidRDefault="006110FD" w:rsidP="00943175">
      <w:pPr>
        <w:jc w:val="both"/>
        <w:rPr>
          <w:rFonts w:cstheme="minorHAnsi"/>
        </w:rPr>
      </w:pPr>
    </w:p>
    <w:p w:rsidR="006110FD" w:rsidRPr="00793D96" w:rsidRDefault="006110FD" w:rsidP="006110FD">
      <w:pPr>
        <w:jc w:val="both"/>
        <w:rPr>
          <w:rFonts w:cstheme="minorHAnsi"/>
        </w:rPr>
      </w:pPr>
      <w:r>
        <w:rPr>
          <w:rFonts w:cstheme="minorHAnsi"/>
        </w:rPr>
        <w:t xml:space="preserve">3. Datos de adopciones decretadas únicamente </w:t>
      </w:r>
      <w:r w:rsidR="003346E5">
        <w:rPr>
          <w:rFonts w:cstheme="minorHAnsi"/>
        </w:rPr>
        <w:t>segregadas por año, y se cuen</w:t>
      </w:r>
      <w:r w:rsidR="00793D96">
        <w:rPr>
          <w:rFonts w:cstheme="minorHAnsi"/>
        </w:rPr>
        <w:t>ta con primer semestre del 2020.</w:t>
      </w:r>
    </w:p>
    <w:p w:rsidR="00793D96" w:rsidRDefault="006110FD" w:rsidP="006110FD">
      <w:pPr>
        <w:jc w:val="both"/>
        <w:rPr>
          <w:rFonts w:cstheme="minorHAnsi"/>
          <w:b/>
        </w:rPr>
      </w:pPr>
      <w:r w:rsidRPr="006110FD">
        <w:rPr>
          <w:rFonts w:cstheme="minorHAnsi"/>
          <w:b/>
        </w:rPr>
        <w:t xml:space="preserve">Datos de adopciones decretadas </w:t>
      </w:r>
    </w:p>
    <w:p w:rsidR="006110FD" w:rsidRPr="00793D96" w:rsidRDefault="006110FD" w:rsidP="006110FD">
      <w:pPr>
        <w:jc w:val="both"/>
        <w:rPr>
          <w:rFonts w:cstheme="minorHAnsi"/>
          <w:b/>
        </w:rPr>
      </w:pPr>
      <w:r w:rsidRPr="006110FD">
        <w:rPr>
          <w:rFonts w:cstheme="minorHAnsi"/>
        </w:rPr>
        <w:t>Adopciones decretadas por los Juzgados de Familia y Juzgados Especializados de la Niñez y la Adolescencia a nivel nacional en el período de 2017 al primer semestre de 2020.</w:t>
      </w:r>
    </w:p>
    <w:tbl>
      <w:tblPr>
        <w:tblStyle w:val="Tabladecuadrcula5oscura-nfasis1"/>
        <w:tblpPr w:leftFromText="141" w:rightFromText="141" w:vertAnchor="page" w:horzAnchor="margin" w:tblpXSpec="center" w:tblpY="4396"/>
        <w:tblW w:w="5763" w:type="dxa"/>
        <w:tblLook w:val="04A0" w:firstRow="1" w:lastRow="0" w:firstColumn="1" w:lastColumn="0" w:noHBand="0" w:noVBand="1"/>
      </w:tblPr>
      <w:tblGrid>
        <w:gridCol w:w="749"/>
        <w:gridCol w:w="694"/>
        <w:gridCol w:w="704"/>
        <w:gridCol w:w="1440"/>
        <w:gridCol w:w="1440"/>
        <w:gridCol w:w="736"/>
      </w:tblGrid>
      <w:tr w:rsidR="00793D96" w:rsidRPr="006110FD" w:rsidTr="00793D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>Año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Niña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Niño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 xml:space="preserve">Adolescente Mujer 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 xml:space="preserve">Adolescente Hombre 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 xml:space="preserve">Total </w:t>
            </w:r>
          </w:p>
        </w:tc>
      </w:tr>
      <w:tr w:rsidR="00793D96" w:rsidRPr="006110FD" w:rsidTr="0079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>2017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19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26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6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9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60</w:t>
            </w:r>
          </w:p>
        </w:tc>
      </w:tr>
      <w:tr w:rsidR="00793D96" w:rsidRPr="006110FD" w:rsidTr="00793D96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>2018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16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6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7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2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31</w:t>
            </w:r>
          </w:p>
        </w:tc>
      </w:tr>
      <w:tr w:rsidR="00793D96" w:rsidRPr="006110FD" w:rsidTr="0079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>2019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16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8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4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4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32</w:t>
            </w:r>
          </w:p>
        </w:tc>
      </w:tr>
      <w:tr w:rsidR="00793D96" w:rsidRPr="006110FD" w:rsidTr="00793D9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>2020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0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3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2</w:t>
            </w:r>
            <w:bookmarkStart w:id="0" w:name="_GoBack"/>
            <w:bookmarkEnd w:id="0"/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110FD">
              <w:rPr>
                <w:rFonts w:cstheme="minorHAnsi"/>
              </w:rPr>
              <w:t>2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7</w:t>
            </w:r>
          </w:p>
        </w:tc>
      </w:tr>
      <w:tr w:rsidR="00793D96" w:rsidRPr="006110FD" w:rsidTr="00793D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hideMark/>
          </w:tcPr>
          <w:p w:rsidR="00793D96" w:rsidRPr="006110FD" w:rsidRDefault="00793D96" w:rsidP="00793D96">
            <w:pPr>
              <w:jc w:val="both"/>
              <w:rPr>
                <w:rFonts w:cstheme="minorHAnsi"/>
              </w:rPr>
            </w:pPr>
            <w:r w:rsidRPr="006110FD">
              <w:rPr>
                <w:rFonts w:cstheme="minorHAnsi"/>
              </w:rPr>
              <w:t xml:space="preserve">Total </w:t>
            </w:r>
          </w:p>
        </w:tc>
        <w:tc>
          <w:tcPr>
            <w:tcW w:w="69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51</w:t>
            </w:r>
          </w:p>
        </w:tc>
        <w:tc>
          <w:tcPr>
            <w:tcW w:w="704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43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19</w:t>
            </w:r>
          </w:p>
        </w:tc>
        <w:tc>
          <w:tcPr>
            <w:tcW w:w="1440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17</w:t>
            </w:r>
          </w:p>
        </w:tc>
        <w:tc>
          <w:tcPr>
            <w:tcW w:w="736" w:type="dxa"/>
            <w:hideMark/>
          </w:tcPr>
          <w:p w:rsidR="00793D96" w:rsidRPr="006110FD" w:rsidRDefault="00793D96" w:rsidP="00793D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110FD">
              <w:rPr>
                <w:rFonts w:cstheme="minorHAnsi"/>
                <w:b/>
              </w:rPr>
              <w:t>130</w:t>
            </w:r>
          </w:p>
        </w:tc>
      </w:tr>
    </w:tbl>
    <w:p w:rsidR="006110FD" w:rsidRPr="006110FD" w:rsidRDefault="006110FD" w:rsidP="006110FD">
      <w:pPr>
        <w:jc w:val="both"/>
        <w:rPr>
          <w:rFonts w:cstheme="minorHAnsi"/>
        </w:rPr>
      </w:pPr>
    </w:p>
    <w:p w:rsidR="006110FD" w:rsidRPr="006110FD" w:rsidRDefault="006110FD" w:rsidP="006110FD">
      <w:pPr>
        <w:jc w:val="both"/>
        <w:rPr>
          <w:rFonts w:cstheme="minorHAnsi"/>
        </w:rPr>
      </w:pPr>
    </w:p>
    <w:p w:rsidR="006110FD" w:rsidRPr="006110FD" w:rsidRDefault="006110FD" w:rsidP="006110FD">
      <w:pPr>
        <w:jc w:val="both"/>
        <w:rPr>
          <w:rFonts w:cstheme="minorHAnsi"/>
        </w:rPr>
      </w:pPr>
    </w:p>
    <w:p w:rsidR="006110FD" w:rsidRPr="006110FD" w:rsidRDefault="006110FD" w:rsidP="006110FD">
      <w:pPr>
        <w:jc w:val="both"/>
        <w:rPr>
          <w:rFonts w:cstheme="minorHAnsi"/>
        </w:rPr>
      </w:pPr>
    </w:p>
    <w:p w:rsidR="006110FD" w:rsidRDefault="006110FD" w:rsidP="006110FD">
      <w:pPr>
        <w:jc w:val="both"/>
        <w:rPr>
          <w:rFonts w:cstheme="minorHAnsi"/>
        </w:rPr>
      </w:pPr>
    </w:p>
    <w:p w:rsidR="006110FD" w:rsidRDefault="006110FD" w:rsidP="006110FD">
      <w:pPr>
        <w:pStyle w:val="Sinespaciado"/>
        <w:rPr>
          <w:rFonts w:cstheme="minorHAnsi"/>
        </w:rPr>
      </w:pPr>
    </w:p>
    <w:p w:rsidR="003346E5" w:rsidRDefault="003346E5" w:rsidP="006110FD">
      <w:pPr>
        <w:pStyle w:val="Sinespaciado"/>
        <w:rPr>
          <w:sz w:val="16"/>
          <w:szCs w:val="16"/>
        </w:rPr>
      </w:pPr>
    </w:p>
    <w:p w:rsidR="006110FD" w:rsidRPr="006110FD" w:rsidRDefault="006110FD" w:rsidP="006110FD">
      <w:pPr>
        <w:pStyle w:val="Sinespaciado"/>
        <w:rPr>
          <w:sz w:val="16"/>
          <w:szCs w:val="16"/>
        </w:rPr>
      </w:pPr>
      <w:r w:rsidRPr="006110FD">
        <w:rPr>
          <w:sz w:val="16"/>
          <w:szCs w:val="16"/>
        </w:rPr>
        <w:t>Fuente: Elaboración propia con datos proporcionados por los Juzgados de Familia y Juzgados Especializados de la Niñez y la Adolescencia a nivel nacional</w:t>
      </w:r>
      <w:r>
        <w:rPr>
          <w:sz w:val="16"/>
          <w:szCs w:val="16"/>
        </w:rPr>
        <w:t>.</w:t>
      </w:r>
    </w:p>
    <w:p w:rsidR="006110FD" w:rsidRDefault="006110FD" w:rsidP="00943175">
      <w:pPr>
        <w:jc w:val="both"/>
        <w:rPr>
          <w:rFonts w:cstheme="minorHAnsi"/>
        </w:rPr>
      </w:pPr>
    </w:p>
    <w:p w:rsidR="006110FD" w:rsidRPr="0077484A" w:rsidRDefault="006110FD" w:rsidP="006110FD">
      <w:pPr>
        <w:spacing w:after="0" w:line="240" w:lineRule="auto"/>
        <w:jc w:val="both"/>
        <w:rPr>
          <w:rFonts w:cstheme="minorHAnsi"/>
        </w:rPr>
      </w:pPr>
      <w:r w:rsidRPr="0077484A">
        <w:rPr>
          <w:rFonts w:cstheme="minorHAnsi"/>
        </w:rPr>
        <w:t>Sin otro particular, me suscribo de usted,</w:t>
      </w:r>
    </w:p>
    <w:p w:rsidR="006110FD" w:rsidRPr="0077484A" w:rsidRDefault="006110FD" w:rsidP="006110FD">
      <w:pPr>
        <w:spacing w:after="0" w:line="240" w:lineRule="auto"/>
        <w:jc w:val="both"/>
        <w:rPr>
          <w:rFonts w:cstheme="minorHAnsi"/>
        </w:rPr>
      </w:pPr>
      <w:r w:rsidRPr="0077484A">
        <w:rPr>
          <w:rFonts w:cstheme="minorHAnsi"/>
        </w:rPr>
        <w:t xml:space="preserve">Atentamente, </w:t>
      </w:r>
    </w:p>
    <w:p w:rsidR="006110FD" w:rsidRPr="0077484A" w:rsidRDefault="006110FD" w:rsidP="006110FD">
      <w:pPr>
        <w:pStyle w:val="Prrafodelista"/>
        <w:spacing w:after="0" w:line="240" w:lineRule="auto"/>
        <w:ind w:left="709"/>
        <w:jc w:val="both"/>
        <w:rPr>
          <w:rFonts w:cstheme="minorHAnsi"/>
        </w:rPr>
      </w:pPr>
    </w:p>
    <w:p w:rsidR="006110FD" w:rsidRPr="0077484A" w:rsidRDefault="006110FD" w:rsidP="006110FD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="006110FD" w:rsidRDefault="006110FD" w:rsidP="00943175">
      <w:pPr>
        <w:jc w:val="both"/>
      </w:pPr>
    </w:p>
    <w:sectPr w:rsidR="006110F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2F" w:rsidRDefault="005C2D2F" w:rsidP="00A91343">
      <w:pPr>
        <w:spacing w:after="0" w:line="240" w:lineRule="auto"/>
      </w:pPr>
      <w:r>
        <w:separator/>
      </w:r>
    </w:p>
  </w:endnote>
  <w:endnote w:type="continuationSeparator" w:id="0">
    <w:p w:rsidR="005C2D2F" w:rsidRDefault="005C2D2F" w:rsidP="00A9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2F" w:rsidRDefault="005C2D2F" w:rsidP="00A91343">
      <w:pPr>
        <w:spacing w:after="0" w:line="240" w:lineRule="auto"/>
      </w:pPr>
      <w:r>
        <w:separator/>
      </w:r>
    </w:p>
  </w:footnote>
  <w:footnote w:type="continuationSeparator" w:id="0">
    <w:p w:rsidR="005C2D2F" w:rsidRDefault="005C2D2F" w:rsidP="00A9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43" w:rsidRDefault="00A91343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16B3723A" wp14:editId="7D31DB2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61176" cy="10042634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NA editabl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176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E35B5"/>
    <w:multiLevelType w:val="hybridMultilevel"/>
    <w:tmpl w:val="2228A98E"/>
    <w:lvl w:ilvl="0" w:tplc="440A000F">
      <w:start w:val="1"/>
      <w:numFmt w:val="decimal"/>
      <w:lvlText w:val="%1."/>
      <w:lvlJc w:val="left"/>
      <w:pPr>
        <w:ind w:left="765" w:hanging="360"/>
      </w:pPr>
    </w:lvl>
    <w:lvl w:ilvl="1" w:tplc="440A0019" w:tentative="1">
      <w:start w:val="1"/>
      <w:numFmt w:val="lowerLetter"/>
      <w:lvlText w:val="%2."/>
      <w:lvlJc w:val="left"/>
      <w:pPr>
        <w:ind w:left="1485" w:hanging="360"/>
      </w:pPr>
    </w:lvl>
    <w:lvl w:ilvl="2" w:tplc="440A001B" w:tentative="1">
      <w:start w:val="1"/>
      <w:numFmt w:val="lowerRoman"/>
      <w:lvlText w:val="%3."/>
      <w:lvlJc w:val="right"/>
      <w:pPr>
        <w:ind w:left="2205" w:hanging="180"/>
      </w:pPr>
    </w:lvl>
    <w:lvl w:ilvl="3" w:tplc="440A000F" w:tentative="1">
      <w:start w:val="1"/>
      <w:numFmt w:val="decimal"/>
      <w:lvlText w:val="%4."/>
      <w:lvlJc w:val="left"/>
      <w:pPr>
        <w:ind w:left="2925" w:hanging="360"/>
      </w:pPr>
    </w:lvl>
    <w:lvl w:ilvl="4" w:tplc="440A0019" w:tentative="1">
      <w:start w:val="1"/>
      <w:numFmt w:val="lowerLetter"/>
      <w:lvlText w:val="%5."/>
      <w:lvlJc w:val="left"/>
      <w:pPr>
        <w:ind w:left="3645" w:hanging="360"/>
      </w:pPr>
    </w:lvl>
    <w:lvl w:ilvl="5" w:tplc="440A001B" w:tentative="1">
      <w:start w:val="1"/>
      <w:numFmt w:val="lowerRoman"/>
      <w:lvlText w:val="%6."/>
      <w:lvlJc w:val="right"/>
      <w:pPr>
        <w:ind w:left="4365" w:hanging="180"/>
      </w:pPr>
    </w:lvl>
    <w:lvl w:ilvl="6" w:tplc="440A000F" w:tentative="1">
      <w:start w:val="1"/>
      <w:numFmt w:val="decimal"/>
      <w:lvlText w:val="%7."/>
      <w:lvlJc w:val="left"/>
      <w:pPr>
        <w:ind w:left="5085" w:hanging="360"/>
      </w:pPr>
    </w:lvl>
    <w:lvl w:ilvl="7" w:tplc="440A0019" w:tentative="1">
      <w:start w:val="1"/>
      <w:numFmt w:val="lowerLetter"/>
      <w:lvlText w:val="%8."/>
      <w:lvlJc w:val="left"/>
      <w:pPr>
        <w:ind w:left="5805" w:hanging="360"/>
      </w:pPr>
    </w:lvl>
    <w:lvl w:ilvl="8" w:tplc="4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7535396"/>
    <w:multiLevelType w:val="hybridMultilevel"/>
    <w:tmpl w:val="8220A800"/>
    <w:lvl w:ilvl="0" w:tplc="FDAC373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43"/>
    <w:rsid w:val="00040D2D"/>
    <w:rsid w:val="001C24AF"/>
    <w:rsid w:val="001E3664"/>
    <w:rsid w:val="002212AA"/>
    <w:rsid w:val="00331545"/>
    <w:rsid w:val="003346E5"/>
    <w:rsid w:val="0052443E"/>
    <w:rsid w:val="005C2D2F"/>
    <w:rsid w:val="006110FD"/>
    <w:rsid w:val="0064455F"/>
    <w:rsid w:val="00793D96"/>
    <w:rsid w:val="00943175"/>
    <w:rsid w:val="00A91343"/>
    <w:rsid w:val="00C74A4B"/>
    <w:rsid w:val="00E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69EB-F299-4A52-AD96-BD58B723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343"/>
  </w:style>
  <w:style w:type="paragraph" w:styleId="Piedepgina">
    <w:name w:val="footer"/>
    <w:basedOn w:val="Normal"/>
    <w:link w:val="PiedepginaCar"/>
    <w:uiPriority w:val="99"/>
    <w:unhideWhenUsed/>
    <w:rsid w:val="00A91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343"/>
  </w:style>
  <w:style w:type="paragraph" w:styleId="Prrafodelista">
    <w:name w:val="List Paragraph"/>
    <w:basedOn w:val="Normal"/>
    <w:link w:val="PrrafodelistaCar"/>
    <w:uiPriority w:val="34"/>
    <w:qFormat/>
    <w:rsid w:val="00040D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10FD"/>
    <w:rPr>
      <w:color w:val="0563C1" w:themeColor="hyperlink"/>
      <w:u w:val="single"/>
    </w:rPr>
  </w:style>
  <w:style w:type="table" w:styleId="Tabladecuadrcula5oscura-nfasis1">
    <w:name w:val="Grid Table 5 Dark Accent 1"/>
    <w:basedOn w:val="Tablanormal"/>
    <w:uiPriority w:val="50"/>
    <w:rsid w:val="006110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110FD"/>
  </w:style>
  <w:style w:type="paragraph" w:styleId="Sinespaciado">
    <w:name w:val="No Spacing"/>
    <w:uiPriority w:val="1"/>
    <w:qFormat/>
    <w:rsid w:val="006110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p.conna.gob.sv/sina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Paola Carranza de Moreno</dc:creator>
  <cp:keywords/>
  <dc:description/>
  <cp:lastModifiedBy>Laura Lisett Centeno Zavaleta</cp:lastModifiedBy>
  <cp:revision>2</cp:revision>
  <cp:lastPrinted>2021-04-15T17:17:00Z</cp:lastPrinted>
  <dcterms:created xsi:type="dcterms:W3CDTF">2021-04-15T20:54:00Z</dcterms:created>
  <dcterms:modified xsi:type="dcterms:W3CDTF">2021-04-15T20:54:00Z</dcterms:modified>
</cp:coreProperties>
</file>