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4A" w:rsidRPr="008B5277" w:rsidRDefault="002554CD" w:rsidP="00C6554A">
      <w:pPr>
        <w:pStyle w:val="Foto"/>
      </w:pPr>
      <w:r w:rsidRPr="008B5277">
        <w:rPr>
          <w:noProof/>
          <w:lang w:val="es-SV" w:eastAsia="es-SV"/>
        </w:rPr>
        <w:drawing>
          <wp:inline distT="0" distB="0" distL="0" distR="0" wp14:anchorId="0446AF6B" wp14:editId="26C45C9C">
            <wp:extent cx="3657600" cy="5486400"/>
            <wp:effectExtent l="0" t="0" r="0" b="0"/>
            <wp:docPr id="22" name="Imagen 1" descr="Lago glaciar de color azul intenso rodeado por hielo blanco junto a una montaña osc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6554A" w:rsidRPr="00914741" w:rsidRDefault="00747714" w:rsidP="00C6554A">
      <w:pPr>
        <w:pStyle w:val="Puesto"/>
      </w:pPr>
      <w:r>
        <w:t>Guía de Archivo</w:t>
      </w:r>
    </w:p>
    <w:p w:rsidR="00C6554A" w:rsidRPr="00914741" w:rsidRDefault="00747714" w:rsidP="00C6554A">
      <w:pPr>
        <w:pStyle w:val="Subttulo"/>
      </w:pPr>
      <w:r>
        <w:rPr>
          <w:caps w:val="0"/>
        </w:rPr>
        <w:t>Según la Norma Internacional para Descripción de Instituciones con Acervo Arch</w:t>
      </w:r>
      <w:r w:rsidR="00A450EC">
        <w:rPr>
          <w:caps w:val="0"/>
        </w:rPr>
        <w:t>i</w:t>
      </w:r>
      <w:r>
        <w:rPr>
          <w:caps w:val="0"/>
        </w:rPr>
        <w:t>vístico ISDIAH (1ª.Ed.)</w:t>
      </w:r>
    </w:p>
    <w:p w:rsidR="00747714" w:rsidRPr="00914741" w:rsidRDefault="00747714" w:rsidP="00C6554A">
      <w:pPr>
        <w:pStyle w:val="Informacindecontacto"/>
      </w:pPr>
      <w:r>
        <w:t>ELABORADO: UNIDAD DE GESTIÓN DOCUMENTAL Y ARCHIVOS</w:t>
      </w:r>
      <w:r w:rsidR="00C6554A" w:rsidRPr="00914741">
        <w:rPr>
          <w:lang w:bidi="es-ES"/>
        </w:rPr>
        <w:t xml:space="preserve"> | </w:t>
      </w:r>
      <w:r>
        <w:rPr>
          <w:lang w:bidi="es-ES"/>
        </w:rPr>
        <w:t xml:space="preserve">           PRIMERA EDICIÓN</w:t>
      </w:r>
      <w:r w:rsidR="00C6554A" w:rsidRPr="00914741">
        <w:rPr>
          <w:lang w:bidi="es-ES"/>
        </w:rPr>
        <w:t xml:space="preserve">| </w:t>
      </w:r>
      <w:r>
        <w:t>JULIO 2019</w:t>
      </w:r>
      <w:r w:rsidR="00C6554A" w:rsidRPr="00914741">
        <w:rPr>
          <w:lang w:bidi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0"/>
        <w:gridCol w:w="6516"/>
      </w:tblGrid>
      <w:tr w:rsidR="00747714" w:rsidTr="00997FF7">
        <w:tc>
          <w:tcPr>
            <w:tcW w:w="8296" w:type="dxa"/>
            <w:gridSpan w:val="2"/>
          </w:tcPr>
          <w:p w:rsidR="00747714" w:rsidRDefault="00747714" w:rsidP="00747714">
            <w:pPr>
              <w:pStyle w:val="Informacindecontacto"/>
              <w:numPr>
                <w:ilvl w:val="0"/>
                <w:numId w:val="16"/>
              </w:numPr>
              <w:jc w:val="both"/>
            </w:pPr>
            <w:r>
              <w:lastRenderedPageBreak/>
              <w:t>AREA DE IDENTIFICACIÓN</w:t>
            </w:r>
          </w:p>
        </w:tc>
      </w:tr>
      <w:tr w:rsidR="00D1462D" w:rsidTr="00016CD6">
        <w:tc>
          <w:tcPr>
            <w:tcW w:w="1780" w:type="dxa"/>
          </w:tcPr>
          <w:p w:rsidR="00747714" w:rsidRDefault="00747714" w:rsidP="00747714">
            <w:pPr>
              <w:pStyle w:val="Informacindecontacto"/>
              <w:jc w:val="both"/>
            </w:pPr>
            <w:r>
              <w:t>1.1 Identificador.</w:t>
            </w:r>
          </w:p>
        </w:tc>
        <w:tc>
          <w:tcPr>
            <w:tcW w:w="6516" w:type="dxa"/>
          </w:tcPr>
          <w:p w:rsidR="00747714" w:rsidRDefault="00747714" w:rsidP="00747714">
            <w:pPr>
              <w:pStyle w:val="Informacindecontacto"/>
              <w:jc w:val="both"/>
            </w:pPr>
            <w:r>
              <w:t>SV.CVPCPA</w:t>
            </w:r>
          </w:p>
          <w:p w:rsidR="00747714" w:rsidRDefault="00747714" w:rsidP="00747714">
            <w:pPr>
              <w:pStyle w:val="Informacindecontacto"/>
              <w:jc w:val="both"/>
            </w:pPr>
            <w:r>
              <w:t>Consejo de Vigilancia de la Profesión de Contaduría Pública y Auditoría.</w:t>
            </w:r>
          </w:p>
          <w:p w:rsidR="00747714" w:rsidRDefault="00747714" w:rsidP="00747714">
            <w:pPr>
              <w:pStyle w:val="Informacindecontacto"/>
              <w:jc w:val="both"/>
            </w:pPr>
            <w:r>
              <w:t>El salvador.</w:t>
            </w:r>
          </w:p>
        </w:tc>
      </w:tr>
      <w:tr w:rsidR="00D1462D" w:rsidTr="00016CD6">
        <w:tc>
          <w:tcPr>
            <w:tcW w:w="1780" w:type="dxa"/>
          </w:tcPr>
          <w:p w:rsidR="00747714" w:rsidRDefault="00747714" w:rsidP="00747714">
            <w:pPr>
              <w:pStyle w:val="Informacindecontacto"/>
              <w:jc w:val="both"/>
            </w:pPr>
            <w:r>
              <w:t>1.2 Forma autorizada del nombre.</w:t>
            </w:r>
          </w:p>
        </w:tc>
        <w:tc>
          <w:tcPr>
            <w:tcW w:w="6516" w:type="dxa"/>
          </w:tcPr>
          <w:p w:rsidR="00747714" w:rsidRDefault="00747714" w:rsidP="00747714">
            <w:pPr>
              <w:pStyle w:val="Informacindecontacto"/>
              <w:jc w:val="both"/>
            </w:pPr>
            <w:r w:rsidRPr="00747714">
              <w:t>Consejo de Vigilancia de la Profesión de Contaduría Pública y Auditoría.</w:t>
            </w:r>
          </w:p>
        </w:tc>
      </w:tr>
      <w:tr w:rsidR="00D1462D" w:rsidTr="00016CD6">
        <w:tc>
          <w:tcPr>
            <w:tcW w:w="1780" w:type="dxa"/>
          </w:tcPr>
          <w:p w:rsidR="00747714" w:rsidRDefault="00747714" w:rsidP="00747714">
            <w:pPr>
              <w:pStyle w:val="Informacindecontacto"/>
              <w:jc w:val="both"/>
            </w:pPr>
            <w:r>
              <w:t>1.3 Forma paralela del nombre.</w:t>
            </w:r>
          </w:p>
        </w:tc>
        <w:tc>
          <w:tcPr>
            <w:tcW w:w="6516" w:type="dxa"/>
          </w:tcPr>
          <w:p w:rsidR="00747714" w:rsidRDefault="00747714" w:rsidP="00747714">
            <w:pPr>
              <w:pStyle w:val="Informacindecontacto"/>
              <w:jc w:val="both"/>
            </w:pPr>
            <w:r>
              <w:t>No tiene.</w:t>
            </w:r>
          </w:p>
        </w:tc>
      </w:tr>
      <w:tr w:rsidR="00D1462D" w:rsidTr="00016CD6">
        <w:tc>
          <w:tcPr>
            <w:tcW w:w="1780" w:type="dxa"/>
          </w:tcPr>
          <w:p w:rsidR="00747714" w:rsidRDefault="00747714" w:rsidP="00747714">
            <w:pPr>
              <w:pStyle w:val="Informacindecontacto"/>
              <w:jc w:val="both"/>
            </w:pPr>
            <w:r>
              <w:t>1.4 Otras formas del nombre.</w:t>
            </w:r>
          </w:p>
        </w:tc>
        <w:tc>
          <w:tcPr>
            <w:tcW w:w="6516" w:type="dxa"/>
          </w:tcPr>
          <w:p w:rsidR="00747714" w:rsidRDefault="00747714" w:rsidP="00747714">
            <w:pPr>
              <w:pStyle w:val="Informacindecontacto"/>
              <w:jc w:val="both"/>
            </w:pPr>
            <w:r>
              <w:t xml:space="preserve">CVPCPA, acrónimo del </w:t>
            </w:r>
            <w:r>
              <w:t>Consejo de Vigilancia de la Profesión de Contaduría Pública y Auditoría.</w:t>
            </w:r>
          </w:p>
        </w:tc>
      </w:tr>
      <w:tr w:rsidR="00D1462D" w:rsidTr="00016CD6">
        <w:tc>
          <w:tcPr>
            <w:tcW w:w="1780" w:type="dxa"/>
          </w:tcPr>
          <w:p w:rsidR="00747714" w:rsidRDefault="00747714" w:rsidP="00747714">
            <w:pPr>
              <w:pStyle w:val="Informacindecontacto"/>
              <w:jc w:val="both"/>
            </w:pPr>
            <w:r>
              <w:t>1.5 Tipo de institución que conserva los fondos de archivo.</w:t>
            </w:r>
          </w:p>
        </w:tc>
        <w:tc>
          <w:tcPr>
            <w:tcW w:w="6516" w:type="dxa"/>
          </w:tcPr>
          <w:p w:rsidR="00747714" w:rsidRDefault="00747714" w:rsidP="00747714">
            <w:pPr>
              <w:pStyle w:val="Informacindecontacto"/>
              <w:jc w:val="both"/>
            </w:pPr>
            <w:r>
              <w:t>Institución Pública del Órgano Ejecutivo, creada según Decreto Legislativo 828</w:t>
            </w:r>
            <w:r w:rsidR="00251005">
              <w:t>, Diario Oficial No. 42 tomo No. 346 de fecha 29 de febrero de 2000.</w:t>
            </w:r>
          </w:p>
        </w:tc>
      </w:tr>
      <w:tr w:rsidR="00251005" w:rsidTr="00F070FC">
        <w:tc>
          <w:tcPr>
            <w:tcW w:w="8296" w:type="dxa"/>
            <w:gridSpan w:val="2"/>
          </w:tcPr>
          <w:p w:rsidR="00251005" w:rsidRDefault="00251005" w:rsidP="00251005">
            <w:pPr>
              <w:pStyle w:val="Informacindecontacto"/>
              <w:numPr>
                <w:ilvl w:val="0"/>
                <w:numId w:val="16"/>
              </w:numPr>
              <w:jc w:val="both"/>
            </w:pPr>
            <w:r>
              <w:t>ÁREA DE CONTACTO</w:t>
            </w:r>
          </w:p>
        </w:tc>
      </w:tr>
      <w:tr w:rsidR="00D1462D" w:rsidTr="00016CD6">
        <w:tc>
          <w:tcPr>
            <w:tcW w:w="1780" w:type="dxa"/>
          </w:tcPr>
          <w:p w:rsidR="00747714" w:rsidRDefault="00251005" w:rsidP="00747714">
            <w:pPr>
              <w:pStyle w:val="Informacindecontacto"/>
              <w:jc w:val="both"/>
            </w:pPr>
            <w:r>
              <w:t>2.1 Localización y dirección.</w:t>
            </w:r>
          </w:p>
        </w:tc>
        <w:tc>
          <w:tcPr>
            <w:tcW w:w="6516" w:type="dxa"/>
          </w:tcPr>
          <w:p w:rsidR="00747714" w:rsidRDefault="00251005" w:rsidP="00747714">
            <w:pPr>
              <w:pStyle w:val="Informacindecontacto"/>
              <w:jc w:val="both"/>
            </w:pPr>
            <w:r>
              <w:t>En San Salvador, ubicado en la 71 avenida sur No. 239, colonia Escalón.</w:t>
            </w:r>
          </w:p>
        </w:tc>
      </w:tr>
      <w:tr w:rsidR="00D1462D" w:rsidTr="00016CD6">
        <w:tc>
          <w:tcPr>
            <w:tcW w:w="1780" w:type="dxa"/>
          </w:tcPr>
          <w:p w:rsidR="00B145C1" w:rsidRDefault="00B145C1" w:rsidP="00747714">
            <w:pPr>
              <w:pStyle w:val="Informacindecontacto"/>
              <w:jc w:val="both"/>
            </w:pPr>
            <w:r>
              <w:t>2.2 Teléfono, correo electrónico.</w:t>
            </w:r>
          </w:p>
        </w:tc>
        <w:tc>
          <w:tcPr>
            <w:tcW w:w="6516" w:type="dxa"/>
          </w:tcPr>
          <w:p w:rsidR="00B145C1" w:rsidRDefault="00B145C1" w:rsidP="00747714">
            <w:pPr>
              <w:pStyle w:val="Informacindecontacto"/>
              <w:jc w:val="both"/>
            </w:pPr>
            <w:r>
              <w:t>PBX: (503) 2245-4835, 2245-4836, 2245-4840.</w:t>
            </w:r>
          </w:p>
          <w:p w:rsidR="00B145C1" w:rsidRDefault="00B145C1" w:rsidP="00747714">
            <w:pPr>
              <w:pStyle w:val="Informacindecontacto"/>
              <w:jc w:val="both"/>
            </w:pPr>
            <w:r>
              <w:t>Correo electrónico: info@consejodevigilancia.gob.sv</w:t>
            </w:r>
          </w:p>
        </w:tc>
      </w:tr>
      <w:tr w:rsidR="00D1462D" w:rsidTr="00016CD6">
        <w:tc>
          <w:tcPr>
            <w:tcW w:w="1780" w:type="dxa"/>
          </w:tcPr>
          <w:p w:rsidR="00B145C1" w:rsidRDefault="00B145C1" w:rsidP="00747714">
            <w:pPr>
              <w:pStyle w:val="Informacindecontacto"/>
              <w:jc w:val="both"/>
            </w:pPr>
            <w:r>
              <w:t>2.3 Personas de contacto.</w:t>
            </w:r>
          </w:p>
        </w:tc>
        <w:tc>
          <w:tcPr>
            <w:tcW w:w="6516" w:type="dxa"/>
          </w:tcPr>
          <w:p w:rsidR="00B145C1" w:rsidRDefault="00B145C1" w:rsidP="00747714">
            <w:pPr>
              <w:pStyle w:val="Informacindecontacto"/>
              <w:jc w:val="both"/>
            </w:pPr>
            <w:r>
              <w:t>Unidad de Gestión Documental y Archivos</w:t>
            </w:r>
          </w:p>
          <w:p w:rsidR="00B145C1" w:rsidRDefault="00B145C1" w:rsidP="00747714">
            <w:pPr>
              <w:pStyle w:val="Informacindecontacto"/>
              <w:jc w:val="both"/>
            </w:pPr>
            <w:r>
              <w:t xml:space="preserve">Teléfono: </w:t>
            </w:r>
            <w:r w:rsidRPr="00B145C1">
              <w:t>PBX: (503) 2245-4835, 2245-4836, 2245-4840.</w:t>
            </w:r>
          </w:p>
          <w:p w:rsidR="00B145C1" w:rsidRDefault="00B145C1" w:rsidP="00747714">
            <w:pPr>
              <w:pStyle w:val="Informacindecontacto"/>
              <w:jc w:val="both"/>
            </w:pPr>
          </w:p>
        </w:tc>
      </w:tr>
      <w:tr w:rsidR="00251005" w:rsidTr="00E12182">
        <w:tc>
          <w:tcPr>
            <w:tcW w:w="8296" w:type="dxa"/>
            <w:gridSpan w:val="2"/>
          </w:tcPr>
          <w:p w:rsidR="00251005" w:rsidRDefault="00251005" w:rsidP="00251005">
            <w:pPr>
              <w:pStyle w:val="Informacindecontacto"/>
              <w:numPr>
                <w:ilvl w:val="0"/>
                <w:numId w:val="16"/>
              </w:numPr>
              <w:jc w:val="both"/>
            </w:pPr>
            <w:r>
              <w:t>ÁREA DE DESCRIPCIÓN</w:t>
            </w:r>
          </w:p>
        </w:tc>
      </w:tr>
      <w:tr w:rsidR="00D1462D" w:rsidTr="00016CD6">
        <w:tc>
          <w:tcPr>
            <w:tcW w:w="1780" w:type="dxa"/>
          </w:tcPr>
          <w:p w:rsidR="00251005" w:rsidRDefault="00251005" w:rsidP="00747714">
            <w:pPr>
              <w:pStyle w:val="Informacindecontacto"/>
              <w:jc w:val="both"/>
            </w:pPr>
            <w:r>
              <w:t>3.1 Historia de la institución que custodia los fondos de archivos</w:t>
            </w:r>
          </w:p>
        </w:tc>
        <w:tc>
          <w:tcPr>
            <w:tcW w:w="6516" w:type="dxa"/>
          </w:tcPr>
          <w:p w:rsidR="00251005" w:rsidRDefault="00E922BF" w:rsidP="00E922B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  <w:lang w:val="es-SV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>El 26 de enero de 2000 se emite Decreto Legislativo No.826 el cual incluye las reformas de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>algunos artículos del Código de Comercio, en la misma fecha se emitió Decreto Legislativo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 xml:space="preserve">No.828 </w:t>
            </w:r>
            <w:r w:rsidR="00B145C1">
              <w:rPr>
                <w:rFonts w:ascii="Arial Narrow" w:hAnsi="Arial Narrow" w:cs="Arial Narrow"/>
                <w:sz w:val="24"/>
                <w:szCs w:val="24"/>
                <w:lang w:val="es-SV"/>
              </w:rPr>
              <w:t xml:space="preserve">publicado en el D.O. 42, Tomo 346 del 29/2/2000 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>dando origen a la primera Ley que regularía el ejercicio del Contado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>r Pú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>blico; titulada Ley</w:t>
            </w:r>
            <w:r w:rsidR="00B145C1">
              <w:rPr>
                <w:rFonts w:ascii="Arial Narrow" w:hAnsi="Arial Narrow" w:cs="Arial Narrow"/>
                <w:sz w:val="24"/>
                <w:szCs w:val="24"/>
                <w:lang w:val="es-SV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>Reguladora del Ejercicio de la Contaduría. Actualmente en El Salvador, el Estado delega en las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>instituciones de educación superior (universidades estatales y privadas reconocidas oficialmente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>por el Ministerio de Educación), la facultad de expedir dicho título a quienes hayan cumplido los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>requisitos académicos necesarios, quedando sujeto el ejercicio de la profesión contable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>independiente al registro respectivo ante el Consejo de Vigilancia de la Contaduría Pública,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>conforme a lo establecido en el Art. 290 del Código de Comercio.</w:t>
            </w: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 xml:space="preserve"> </w:t>
            </w:r>
          </w:p>
          <w:p w:rsidR="00E922BF" w:rsidRDefault="00E922BF" w:rsidP="00E922B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  <w:lang w:val="es-SV"/>
              </w:rPr>
            </w:pPr>
          </w:p>
          <w:p w:rsidR="00E922BF" w:rsidRPr="00B145C1" w:rsidRDefault="00B145C1" w:rsidP="00E922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Además, debido a la necesidad de</w:t>
            </w:r>
            <w:r w:rsidRPr="00B145C1">
              <w:rPr>
                <w:rFonts w:ascii="Arial Narrow" w:hAnsi="Arial Narrow"/>
              </w:rPr>
              <w:t xml:space="preserve"> adecuar el texto de la Ley Reguladora del Ejercicio de la Contaduría a los cambios y nuevas exigencias nacionales e internacionales de la profesión contable, y especialmente al ejercicio de la función de auditoría, para fortalecer la transparencia de la información financiera de las empresas y para atraer la inversión extranjera.</w:t>
            </w:r>
          </w:p>
          <w:p w:rsidR="00B145C1" w:rsidRPr="00B145C1" w:rsidRDefault="00B145C1" w:rsidP="00E922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635977" w:rsidRDefault="00B145C1" w:rsidP="00B145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También a</w:t>
            </w:r>
            <w:r w:rsidRPr="00B145C1">
              <w:rPr>
                <w:rFonts w:ascii="Arial Narrow" w:hAnsi="Arial Narrow"/>
              </w:rPr>
              <w:t xml:space="preserve"> que el Consejo de Vigilancia de la Profesión de Contaduría Pública y Auditoría, fortalezca su función reguladora y vigilancia, la metodología para la </w:t>
            </w:r>
            <w:r w:rsidRPr="00B145C1">
              <w:rPr>
                <w:rFonts w:ascii="Arial Narrow" w:hAnsi="Arial Narrow"/>
              </w:rPr>
              <w:lastRenderedPageBreak/>
              <w:t>verificación de la suficiencia y competencia de los profesionales que serán autorizados para ejercer la f</w:t>
            </w:r>
            <w:r>
              <w:rPr>
                <w:rFonts w:ascii="Arial Narrow" w:hAnsi="Arial Narrow"/>
              </w:rPr>
              <w:t xml:space="preserve">unción de la Contaduría Pública, razón por la cual se emitió por la Asamblea Legislativa de El Salvador, el </w:t>
            </w:r>
            <w:r w:rsidR="00E922BF" w:rsidRPr="00B145C1">
              <w:rPr>
                <w:rFonts w:ascii="Arial Narrow" w:hAnsi="Arial Narrow"/>
              </w:rPr>
              <w:t xml:space="preserve">Decreto </w:t>
            </w:r>
            <w:r w:rsidR="00635977">
              <w:rPr>
                <w:rFonts w:ascii="Arial Narrow" w:hAnsi="Arial Narrow"/>
              </w:rPr>
              <w:t xml:space="preserve">Legislativo </w:t>
            </w:r>
            <w:r w:rsidR="00E922BF" w:rsidRPr="00B145C1">
              <w:rPr>
                <w:rFonts w:ascii="Arial Narrow" w:hAnsi="Arial Narrow"/>
              </w:rPr>
              <w:t>No. 646.- publicado en el D.O. 218, Tomo 417 del 22/11/2017</w:t>
            </w:r>
            <w:r>
              <w:rPr>
                <w:rFonts w:ascii="Arial Narrow" w:hAnsi="Arial Narrow"/>
              </w:rPr>
              <w:t xml:space="preserve">, </w:t>
            </w:r>
            <w:r w:rsidR="00635977">
              <w:rPr>
                <w:rFonts w:ascii="Arial Narrow" w:hAnsi="Arial Narrow"/>
              </w:rPr>
              <w:t>por medio del cual se modifica la Ley Reguladora del Ejercicio de la Contaduría.</w:t>
            </w:r>
          </w:p>
          <w:p w:rsidR="00635977" w:rsidRDefault="00635977" w:rsidP="00B145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635977" w:rsidRDefault="00635977" w:rsidP="00B145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 la reforma de Ley, se incorporan en el proceso de inscripción a contadores y auditores, se emiten credenciales de identificación, sellos para contadores y/o auditores, registro de contadores y auditores, entre otras reformas. </w:t>
            </w:r>
          </w:p>
          <w:p w:rsidR="00635977" w:rsidRDefault="00635977" w:rsidP="00B145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E922BF" w:rsidRDefault="00635977" w:rsidP="00D1462D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Arial Narrow" w:hAnsi="Arial Narrow"/>
              </w:rPr>
              <w:t>S</w:t>
            </w:r>
            <w:r w:rsidR="00B145C1">
              <w:rPr>
                <w:rFonts w:ascii="Arial Narrow" w:hAnsi="Arial Narrow"/>
              </w:rPr>
              <w:t xml:space="preserve">e realiza control de calidad, </w:t>
            </w:r>
            <w:r w:rsidR="00D1462D">
              <w:rPr>
                <w:rFonts w:ascii="Arial Narrow" w:hAnsi="Arial Narrow"/>
              </w:rPr>
              <w:t>exigencias en el fortalecimiento de competencias y la generación de</w:t>
            </w:r>
            <w:r w:rsidR="00B145C1">
              <w:rPr>
                <w:rFonts w:ascii="Arial Narrow" w:hAnsi="Arial Narrow"/>
              </w:rPr>
              <w:t xml:space="preserve"> horas de educación continuada</w:t>
            </w:r>
            <w:r w:rsidR="00D1462D">
              <w:rPr>
                <w:rFonts w:ascii="Arial Narrow" w:hAnsi="Arial Narrow"/>
              </w:rPr>
              <w:t xml:space="preserve">, </w:t>
            </w:r>
            <w:r w:rsidR="00B145C1">
              <w:rPr>
                <w:rFonts w:ascii="Arial Narrow" w:hAnsi="Arial Narrow"/>
              </w:rPr>
              <w:t>a</w:t>
            </w:r>
            <w:r w:rsidR="00D1462D">
              <w:rPr>
                <w:rFonts w:ascii="Arial Narrow" w:hAnsi="Arial Narrow"/>
              </w:rPr>
              <w:t>dopción de la normativa internacional, entre otros aspectos.</w:t>
            </w:r>
          </w:p>
        </w:tc>
      </w:tr>
      <w:tr w:rsidR="00D1462D" w:rsidTr="00016CD6">
        <w:tc>
          <w:tcPr>
            <w:tcW w:w="1780" w:type="dxa"/>
          </w:tcPr>
          <w:p w:rsidR="00251005" w:rsidRDefault="00B145C1" w:rsidP="00747714">
            <w:pPr>
              <w:pStyle w:val="Informacindecontacto"/>
              <w:jc w:val="both"/>
            </w:pPr>
            <w:r>
              <w:lastRenderedPageBreak/>
              <w:t>3.2 Atribuciones /Fuentes legales</w:t>
            </w:r>
          </w:p>
        </w:tc>
        <w:tc>
          <w:tcPr>
            <w:tcW w:w="6516" w:type="dxa"/>
          </w:tcPr>
          <w:p w:rsidR="00251005" w:rsidRDefault="00B145C1" w:rsidP="00747714">
            <w:pPr>
              <w:pStyle w:val="Informacindecontacto"/>
              <w:jc w:val="both"/>
            </w:pPr>
            <w:r>
              <w:t>El marco legal vigente que rige la actuación del Consejo de Vigilancia de la Profesión de Contaduría Pública y Auditoría, lo conforman:</w:t>
            </w:r>
          </w:p>
          <w:p w:rsidR="00B145C1" w:rsidRPr="00635977" w:rsidRDefault="00B145C1" w:rsidP="00B145C1">
            <w:pPr>
              <w:pStyle w:val="Informacindecontacto"/>
              <w:numPr>
                <w:ilvl w:val="0"/>
                <w:numId w:val="17"/>
              </w:numPr>
              <w:ind w:left="317"/>
              <w:jc w:val="both"/>
            </w:pPr>
            <w:r>
              <w:rPr>
                <w:rFonts w:ascii="Arial Narrow" w:hAnsi="Arial Narrow" w:cs="Arial Narrow"/>
                <w:sz w:val="24"/>
                <w:szCs w:val="24"/>
                <w:lang w:val="es-SV"/>
              </w:rPr>
              <w:t>Decreto Legislativo No.828 publicado en el D.O. 42, Tomo 346 del 29/2/2000 dando origen a la primera Ley que regularía el ejercicio del Contador Público; titulada Ley Reguladora del Ejercicio de la Contaduría</w:t>
            </w:r>
            <w:r w:rsidR="00635977">
              <w:rPr>
                <w:rFonts w:ascii="Arial Narrow" w:hAnsi="Arial Narrow" w:cs="Arial Narrow"/>
                <w:sz w:val="24"/>
                <w:szCs w:val="24"/>
                <w:lang w:val="es-SV"/>
              </w:rPr>
              <w:t>.</w:t>
            </w:r>
          </w:p>
          <w:p w:rsidR="00635977" w:rsidRPr="00D1462D" w:rsidRDefault="00635977" w:rsidP="00B145C1">
            <w:pPr>
              <w:pStyle w:val="Informacindecontacto"/>
              <w:numPr>
                <w:ilvl w:val="0"/>
                <w:numId w:val="17"/>
              </w:numPr>
              <w:ind w:left="317"/>
              <w:jc w:val="both"/>
            </w:pPr>
            <w:r w:rsidRPr="00B145C1">
              <w:rPr>
                <w:rFonts w:ascii="Arial Narrow" w:hAnsi="Arial Narrow"/>
              </w:rPr>
              <w:t xml:space="preserve">Decreto </w:t>
            </w:r>
            <w:r>
              <w:rPr>
                <w:rFonts w:ascii="Arial Narrow" w:hAnsi="Arial Narrow"/>
              </w:rPr>
              <w:t xml:space="preserve">Legislativo </w:t>
            </w:r>
            <w:r w:rsidRPr="00B145C1">
              <w:rPr>
                <w:rFonts w:ascii="Arial Narrow" w:hAnsi="Arial Narrow"/>
              </w:rPr>
              <w:t>No. 646.- publicado en el D.O. 218, Tomo 417 del 22/11/2017</w:t>
            </w:r>
            <w:r w:rsidR="00D1462D">
              <w:rPr>
                <w:rFonts w:ascii="Arial Narrow" w:hAnsi="Arial Narrow"/>
              </w:rPr>
              <w:t xml:space="preserve">, </w:t>
            </w:r>
            <w:r w:rsidR="00D1462D">
              <w:rPr>
                <w:rFonts w:ascii="Arial Narrow" w:hAnsi="Arial Narrow"/>
              </w:rPr>
              <w:t>por medio del cual se modifica la Ley Reguladora del Ejercicio de la Contaduría</w:t>
            </w:r>
            <w:r w:rsidR="00D1462D">
              <w:rPr>
                <w:rFonts w:ascii="Arial Narrow" w:hAnsi="Arial Narrow"/>
              </w:rPr>
              <w:t>.</w:t>
            </w:r>
          </w:p>
          <w:p w:rsidR="00D1462D" w:rsidRPr="00D1462D" w:rsidRDefault="00D1462D" w:rsidP="00B145C1">
            <w:pPr>
              <w:pStyle w:val="Informacindecontacto"/>
              <w:numPr>
                <w:ilvl w:val="0"/>
                <w:numId w:val="17"/>
              </w:numPr>
              <w:ind w:left="317"/>
              <w:jc w:val="both"/>
            </w:pPr>
            <w:r>
              <w:rPr>
                <w:rFonts w:ascii="Arial Narrow" w:hAnsi="Arial Narrow"/>
              </w:rPr>
              <w:t>Adopción del Manual del Código de Ética para profesionales de la Contabilidad.</w:t>
            </w:r>
          </w:p>
          <w:p w:rsidR="00D1462D" w:rsidRPr="00D1462D" w:rsidRDefault="00D1462D" w:rsidP="00B145C1">
            <w:pPr>
              <w:pStyle w:val="Informacindecontacto"/>
              <w:numPr>
                <w:ilvl w:val="0"/>
                <w:numId w:val="17"/>
              </w:numPr>
              <w:ind w:left="317"/>
              <w:jc w:val="both"/>
            </w:pPr>
            <w:r>
              <w:rPr>
                <w:rFonts w:ascii="Arial Narrow" w:hAnsi="Arial Narrow"/>
              </w:rPr>
              <w:t>Adopción de las Normas Internacionales de Auditoría.</w:t>
            </w:r>
          </w:p>
          <w:p w:rsidR="00D1462D" w:rsidRPr="00D1462D" w:rsidRDefault="00D1462D" w:rsidP="00B145C1">
            <w:pPr>
              <w:pStyle w:val="Informacindecontacto"/>
              <w:numPr>
                <w:ilvl w:val="0"/>
                <w:numId w:val="17"/>
              </w:numPr>
              <w:ind w:left="317"/>
              <w:jc w:val="both"/>
            </w:pPr>
            <w:r>
              <w:rPr>
                <w:rFonts w:ascii="Arial Narrow" w:hAnsi="Arial Narrow"/>
              </w:rPr>
              <w:t>Adopción de las Normas Internacionales de Información Financiera.</w:t>
            </w:r>
          </w:p>
          <w:p w:rsidR="00D1462D" w:rsidRPr="00D1462D" w:rsidRDefault="00D1462D" w:rsidP="00B145C1">
            <w:pPr>
              <w:pStyle w:val="Informacindecontacto"/>
              <w:numPr>
                <w:ilvl w:val="0"/>
                <w:numId w:val="17"/>
              </w:numPr>
              <w:ind w:left="317"/>
              <w:jc w:val="both"/>
            </w:pPr>
            <w:r>
              <w:rPr>
                <w:rFonts w:ascii="Arial Narrow" w:hAnsi="Arial Narrow"/>
              </w:rPr>
              <w:t>Adopción de la Norma Internacional de Información Financiera para PYMES.</w:t>
            </w:r>
          </w:p>
          <w:p w:rsidR="00D1462D" w:rsidRDefault="00D1462D" w:rsidP="00B145C1">
            <w:pPr>
              <w:pStyle w:val="Informacindecontacto"/>
              <w:numPr>
                <w:ilvl w:val="0"/>
                <w:numId w:val="17"/>
              </w:numPr>
              <w:ind w:left="317"/>
              <w:jc w:val="both"/>
            </w:pPr>
            <w:r>
              <w:rPr>
                <w:rFonts w:ascii="Arial Narrow" w:hAnsi="Arial Narrow"/>
              </w:rPr>
              <w:t>Emisión de la Norma de Aseguramiento para el Cumplimiento de Obligaciones Tributarias.</w:t>
            </w:r>
          </w:p>
        </w:tc>
      </w:tr>
      <w:tr w:rsidR="00D1462D" w:rsidTr="00016CD6">
        <w:tc>
          <w:tcPr>
            <w:tcW w:w="1780" w:type="dxa"/>
          </w:tcPr>
          <w:p w:rsidR="00251005" w:rsidRDefault="00D1462D" w:rsidP="00747714">
            <w:pPr>
              <w:pStyle w:val="Informacindecontacto"/>
              <w:jc w:val="both"/>
            </w:pPr>
            <w:r>
              <w:t>3.3 Estructura Administrativa</w:t>
            </w:r>
          </w:p>
        </w:tc>
        <w:tc>
          <w:tcPr>
            <w:tcW w:w="6516" w:type="dxa"/>
          </w:tcPr>
          <w:p w:rsidR="00251005" w:rsidRDefault="00D1462D" w:rsidP="00747714">
            <w:pPr>
              <w:pStyle w:val="Informacindecontacto"/>
              <w:jc w:val="both"/>
            </w:pPr>
            <w:r w:rsidRPr="00D1462D">
              <w:rPr>
                <w:noProof/>
                <w:lang w:val="es-SV" w:eastAsia="es-SV"/>
              </w:rPr>
              <w:drawing>
                <wp:inline distT="0" distB="0" distL="0" distR="0">
                  <wp:extent cx="3999119" cy="3090227"/>
                  <wp:effectExtent l="0" t="0" r="1905" b="0"/>
                  <wp:docPr id="1" name="Imagen 1" descr="C:\Users\Gerencia\AppData\Local\Microsoft\Windows\INetCache\Content.Outlook\2HJ03R7G\Estructura Organizat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rencia\AppData\Local\Microsoft\Windows\INetCache\Content.Outlook\2HJ03R7G\Estructura Organizat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472" cy="312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62D" w:rsidTr="00016CD6">
        <w:tc>
          <w:tcPr>
            <w:tcW w:w="1780" w:type="dxa"/>
          </w:tcPr>
          <w:p w:rsidR="00251005" w:rsidRDefault="00D1462D" w:rsidP="00747714">
            <w:pPr>
              <w:pStyle w:val="Informacindecontacto"/>
              <w:jc w:val="both"/>
            </w:pPr>
            <w:r>
              <w:lastRenderedPageBreak/>
              <w:t>3.4 Gestión de documentos</w:t>
            </w:r>
          </w:p>
        </w:tc>
        <w:tc>
          <w:tcPr>
            <w:tcW w:w="6516" w:type="dxa"/>
          </w:tcPr>
          <w:p w:rsidR="00251005" w:rsidRDefault="00D1462D" w:rsidP="00747714">
            <w:pPr>
              <w:pStyle w:val="Informacindecontacto"/>
              <w:jc w:val="both"/>
            </w:pPr>
            <w:r>
              <w:t>Por su naturaleza el fondo documental que se procesa y resguarda en el Consejo de Vigilancia de la Profesión de Contaduría Pública y auditoría</w:t>
            </w:r>
            <w:r w:rsidR="00016CD6">
              <w:t xml:space="preserve"> se relaciona con lo siguiente:</w:t>
            </w:r>
          </w:p>
          <w:p w:rsidR="00016CD6" w:rsidRDefault="00016CD6" w:rsidP="00016CD6">
            <w:pPr>
              <w:pStyle w:val="Informacindecontacto"/>
              <w:numPr>
                <w:ilvl w:val="0"/>
                <w:numId w:val="17"/>
              </w:numPr>
              <w:ind w:left="375"/>
              <w:jc w:val="both"/>
            </w:pPr>
            <w:r>
              <w:t>Inscripción y registro de expedientes de contadores y auditores, los cuales no son públicos, con base a la Ley Reguladora del Ejercicio de la Contaduría.</w:t>
            </w:r>
          </w:p>
          <w:p w:rsidR="00016CD6" w:rsidRDefault="00016CD6" w:rsidP="00016CD6">
            <w:pPr>
              <w:pStyle w:val="Informacindecontacto"/>
              <w:numPr>
                <w:ilvl w:val="0"/>
                <w:numId w:val="17"/>
              </w:numPr>
              <w:ind w:left="375"/>
              <w:jc w:val="both"/>
            </w:pPr>
            <w:r>
              <w:t>Educación Continuada: se lleva el control de los convenios de gremiales e instituciones de nivel superior y cartas de entendimiento celebradas con firmas de auditoría, así como toda la documentación resultante de la notificación de horas acreditadas a contadores o auditores durante cada año.</w:t>
            </w:r>
          </w:p>
          <w:p w:rsidR="00016CD6" w:rsidRDefault="00016CD6" w:rsidP="00016CD6">
            <w:pPr>
              <w:pStyle w:val="Informacindecontacto"/>
              <w:numPr>
                <w:ilvl w:val="0"/>
                <w:numId w:val="17"/>
              </w:numPr>
              <w:ind w:left="375"/>
              <w:jc w:val="both"/>
            </w:pPr>
            <w:r>
              <w:t>Área Jurídica: se lleva el control de los expedientes jurídicos emitidos por diversas situaciones: denuncias, inscripción de sociedades, resoluciones de control de calidad.</w:t>
            </w:r>
          </w:p>
          <w:p w:rsidR="00016CD6" w:rsidRDefault="00016CD6" w:rsidP="00016CD6">
            <w:pPr>
              <w:pStyle w:val="Informacindecontacto"/>
              <w:numPr>
                <w:ilvl w:val="0"/>
                <w:numId w:val="17"/>
              </w:numPr>
              <w:ind w:left="375"/>
              <w:jc w:val="both"/>
            </w:pPr>
            <w:r>
              <w:t>Área de control de Calidad, se lleva el registro documental de todos los expedientes resultantes de controles de calidad realizados a contadores o auditores, dicha información no es pública, ya que contienen datos confidenciales de los revisados.</w:t>
            </w:r>
          </w:p>
          <w:p w:rsidR="00016CD6" w:rsidRDefault="00016CD6" w:rsidP="00016CD6">
            <w:pPr>
              <w:pStyle w:val="Informacindecontacto"/>
              <w:numPr>
                <w:ilvl w:val="0"/>
                <w:numId w:val="17"/>
              </w:numPr>
              <w:ind w:left="375"/>
              <w:jc w:val="both"/>
            </w:pPr>
            <w:r>
              <w:t>Área Financiera: se lleva el control documental de presupuesto, tesorería, contabilidad.</w:t>
            </w:r>
          </w:p>
          <w:p w:rsidR="00016CD6" w:rsidRDefault="00016CD6" w:rsidP="00016CD6">
            <w:pPr>
              <w:pStyle w:val="Informacindecontacto"/>
              <w:numPr>
                <w:ilvl w:val="0"/>
                <w:numId w:val="17"/>
              </w:numPr>
              <w:ind w:left="375"/>
              <w:jc w:val="both"/>
            </w:pPr>
            <w:r>
              <w:t>Área administrativa: se lleva el control documental de UACI, Recursos Humanos, papelería y útiles, inventarios entre otros administrativos.</w:t>
            </w:r>
          </w:p>
          <w:p w:rsidR="00016CD6" w:rsidRDefault="00016CD6" w:rsidP="00016CD6">
            <w:pPr>
              <w:pStyle w:val="Informacindecontacto"/>
              <w:numPr>
                <w:ilvl w:val="0"/>
                <w:numId w:val="17"/>
              </w:numPr>
              <w:ind w:left="375"/>
              <w:jc w:val="both"/>
            </w:pPr>
            <w:r>
              <w:t>Consejo Directivo: Control y custodia de las Actas del Consejo emitidas desde el 2000 hasta la fecha.</w:t>
            </w:r>
          </w:p>
          <w:p w:rsidR="00016CD6" w:rsidRDefault="00016CD6" w:rsidP="00016CD6">
            <w:pPr>
              <w:pStyle w:val="Informacindecontacto"/>
              <w:numPr>
                <w:ilvl w:val="0"/>
                <w:numId w:val="17"/>
              </w:numPr>
              <w:ind w:left="375"/>
              <w:jc w:val="both"/>
            </w:pPr>
            <w:r>
              <w:t>Archivo Central</w:t>
            </w:r>
          </w:p>
        </w:tc>
      </w:tr>
      <w:tr w:rsidR="00D1462D" w:rsidTr="00016CD6">
        <w:tc>
          <w:tcPr>
            <w:tcW w:w="1780" w:type="dxa"/>
          </w:tcPr>
          <w:p w:rsidR="00251005" w:rsidRDefault="00016CD6" w:rsidP="00747714">
            <w:pPr>
              <w:pStyle w:val="Informacindecontacto"/>
              <w:jc w:val="both"/>
            </w:pPr>
            <w:r>
              <w:t>3.5 Instrumentos de descripción, guías y publicaciones.</w:t>
            </w:r>
          </w:p>
        </w:tc>
        <w:tc>
          <w:tcPr>
            <w:tcW w:w="6516" w:type="dxa"/>
          </w:tcPr>
          <w:p w:rsidR="00251005" w:rsidRDefault="00016CD6" w:rsidP="00747714">
            <w:pPr>
              <w:pStyle w:val="Informacindecontacto"/>
              <w:jc w:val="both"/>
            </w:pPr>
            <w:r>
              <w:t>Guía de Archivo del Consejo de Vigilancia de la Profesión de Contaduría Pública y Auditoría.</w:t>
            </w:r>
          </w:p>
          <w:p w:rsidR="00016CD6" w:rsidRDefault="00016CD6" w:rsidP="00747714">
            <w:pPr>
              <w:pStyle w:val="Informacindecontacto"/>
              <w:jc w:val="both"/>
            </w:pPr>
            <w:r>
              <w:t>San Salvador, 2019.</w:t>
            </w:r>
          </w:p>
        </w:tc>
      </w:tr>
      <w:tr w:rsidR="00016CD6" w:rsidTr="00202675">
        <w:tc>
          <w:tcPr>
            <w:tcW w:w="8296" w:type="dxa"/>
            <w:gridSpan w:val="2"/>
          </w:tcPr>
          <w:p w:rsidR="00016CD6" w:rsidRDefault="00A450EC" w:rsidP="00016CD6">
            <w:pPr>
              <w:pStyle w:val="Informacindecontacto"/>
              <w:numPr>
                <w:ilvl w:val="0"/>
                <w:numId w:val="16"/>
              </w:numPr>
              <w:jc w:val="both"/>
            </w:pPr>
            <w:r>
              <w:t>AREA DE ACCESO</w:t>
            </w:r>
          </w:p>
        </w:tc>
      </w:tr>
      <w:tr w:rsidR="00D1462D" w:rsidTr="00016CD6">
        <w:tc>
          <w:tcPr>
            <w:tcW w:w="1780" w:type="dxa"/>
          </w:tcPr>
          <w:p w:rsidR="00251005" w:rsidRDefault="00432B9E" w:rsidP="00747714">
            <w:pPr>
              <w:pStyle w:val="Informacindecontacto"/>
              <w:jc w:val="both"/>
            </w:pPr>
            <w:r>
              <w:t>4.1 Horario de apertura.</w:t>
            </w:r>
          </w:p>
        </w:tc>
        <w:tc>
          <w:tcPr>
            <w:tcW w:w="6516" w:type="dxa"/>
          </w:tcPr>
          <w:p w:rsidR="00251005" w:rsidRDefault="00432B9E" w:rsidP="00747714">
            <w:pPr>
              <w:pStyle w:val="Informacindecontacto"/>
              <w:jc w:val="both"/>
            </w:pPr>
            <w:r>
              <w:t>De lunes a viernes de 7:30 a.m. a 12:00 m. y de 1:00 a 3:30 p.m.</w:t>
            </w:r>
          </w:p>
          <w:p w:rsidR="00432B9E" w:rsidRDefault="00432B9E" w:rsidP="00747714">
            <w:pPr>
              <w:pStyle w:val="Informacindecontacto"/>
              <w:jc w:val="both"/>
            </w:pPr>
            <w:r>
              <w:t>Cerrado al público:</w:t>
            </w:r>
          </w:p>
          <w:p w:rsidR="00432B9E" w:rsidRDefault="00432B9E" w:rsidP="00432B9E">
            <w:pPr>
              <w:pStyle w:val="Informacindecontacto"/>
              <w:numPr>
                <w:ilvl w:val="0"/>
                <w:numId w:val="17"/>
              </w:numPr>
              <w:jc w:val="both"/>
            </w:pPr>
            <w:r>
              <w:t>Sábado y domingo</w:t>
            </w:r>
          </w:p>
          <w:p w:rsidR="00432B9E" w:rsidRDefault="00432B9E" w:rsidP="00432B9E">
            <w:pPr>
              <w:pStyle w:val="Informacindecontacto"/>
              <w:numPr>
                <w:ilvl w:val="0"/>
                <w:numId w:val="17"/>
              </w:numPr>
              <w:jc w:val="both"/>
            </w:pPr>
            <w:r>
              <w:t>Días festivos y asueto:</w:t>
            </w:r>
          </w:p>
          <w:p w:rsidR="00432B9E" w:rsidRDefault="00432B9E" w:rsidP="00432B9E">
            <w:pPr>
              <w:pStyle w:val="Informacindecontacto"/>
              <w:numPr>
                <w:ilvl w:val="0"/>
                <w:numId w:val="18"/>
              </w:numPr>
              <w:jc w:val="both"/>
            </w:pPr>
            <w:r>
              <w:t>1 y 2 de enero</w:t>
            </w:r>
          </w:p>
          <w:p w:rsidR="00432B9E" w:rsidRDefault="00432B9E" w:rsidP="00432B9E">
            <w:pPr>
              <w:pStyle w:val="Informacindecontacto"/>
              <w:numPr>
                <w:ilvl w:val="0"/>
                <w:numId w:val="18"/>
              </w:numPr>
              <w:jc w:val="both"/>
            </w:pPr>
            <w:r>
              <w:t>Semana Santa</w:t>
            </w:r>
          </w:p>
          <w:p w:rsidR="00432B9E" w:rsidRDefault="00432B9E" w:rsidP="00432B9E">
            <w:pPr>
              <w:pStyle w:val="Informacindecontacto"/>
              <w:numPr>
                <w:ilvl w:val="0"/>
                <w:numId w:val="18"/>
              </w:numPr>
              <w:jc w:val="both"/>
            </w:pPr>
            <w:r>
              <w:t>1 de mayo</w:t>
            </w:r>
          </w:p>
          <w:p w:rsidR="00432B9E" w:rsidRDefault="00432B9E" w:rsidP="00432B9E">
            <w:pPr>
              <w:pStyle w:val="Informacindecontacto"/>
              <w:numPr>
                <w:ilvl w:val="0"/>
                <w:numId w:val="18"/>
              </w:numPr>
              <w:jc w:val="both"/>
            </w:pPr>
            <w:r>
              <w:t>10 de mayo</w:t>
            </w:r>
          </w:p>
          <w:p w:rsidR="00432B9E" w:rsidRDefault="00432B9E" w:rsidP="00432B9E">
            <w:pPr>
              <w:pStyle w:val="Informacindecontacto"/>
              <w:numPr>
                <w:ilvl w:val="0"/>
                <w:numId w:val="18"/>
              </w:numPr>
              <w:jc w:val="both"/>
            </w:pPr>
            <w:r>
              <w:t>17 de junio</w:t>
            </w:r>
          </w:p>
          <w:p w:rsidR="00432B9E" w:rsidRDefault="00432B9E" w:rsidP="00432B9E">
            <w:pPr>
              <w:pStyle w:val="Informacindecontacto"/>
              <w:numPr>
                <w:ilvl w:val="0"/>
                <w:numId w:val="18"/>
              </w:numPr>
              <w:jc w:val="both"/>
            </w:pPr>
            <w:r>
              <w:t xml:space="preserve">Vacaciones </w:t>
            </w:r>
            <w:proofErr w:type="spellStart"/>
            <w:r>
              <w:t>agostinas</w:t>
            </w:r>
            <w:proofErr w:type="spellEnd"/>
          </w:p>
          <w:p w:rsidR="00432B9E" w:rsidRDefault="00432B9E" w:rsidP="00432B9E">
            <w:pPr>
              <w:pStyle w:val="Informacindecontacto"/>
              <w:numPr>
                <w:ilvl w:val="0"/>
                <w:numId w:val="18"/>
              </w:numPr>
              <w:jc w:val="both"/>
            </w:pPr>
            <w:r>
              <w:t>15 de septiembre</w:t>
            </w:r>
          </w:p>
          <w:p w:rsidR="00432B9E" w:rsidRDefault="00432B9E" w:rsidP="00432B9E">
            <w:pPr>
              <w:pStyle w:val="Informacindecontacto"/>
              <w:numPr>
                <w:ilvl w:val="0"/>
                <w:numId w:val="18"/>
              </w:numPr>
              <w:jc w:val="both"/>
            </w:pPr>
            <w:r>
              <w:t>2 de noviembre</w:t>
            </w:r>
          </w:p>
          <w:p w:rsidR="00432B9E" w:rsidRDefault="00432B9E" w:rsidP="00432B9E">
            <w:pPr>
              <w:pStyle w:val="Informacindecontacto"/>
              <w:numPr>
                <w:ilvl w:val="0"/>
                <w:numId w:val="18"/>
              </w:numPr>
              <w:jc w:val="both"/>
            </w:pPr>
            <w:r>
              <w:t>Del 24 al 31 de diciembre</w:t>
            </w:r>
          </w:p>
          <w:p w:rsidR="00432B9E" w:rsidRDefault="00432B9E" w:rsidP="00432B9E">
            <w:pPr>
              <w:pStyle w:val="Informacindecontacto"/>
              <w:ind w:left="720"/>
              <w:jc w:val="both"/>
            </w:pPr>
          </w:p>
        </w:tc>
      </w:tr>
      <w:tr w:rsidR="00D1462D" w:rsidTr="00016CD6">
        <w:tc>
          <w:tcPr>
            <w:tcW w:w="1780" w:type="dxa"/>
          </w:tcPr>
          <w:p w:rsidR="00251005" w:rsidRDefault="00432B9E" w:rsidP="00747714">
            <w:pPr>
              <w:pStyle w:val="Informacindecontacto"/>
              <w:jc w:val="both"/>
            </w:pPr>
            <w:r>
              <w:t xml:space="preserve">4.2 Condiciones y requisitos para </w:t>
            </w:r>
            <w:r>
              <w:lastRenderedPageBreak/>
              <w:t>el uso y el acceso.</w:t>
            </w:r>
          </w:p>
        </w:tc>
        <w:tc>
          <w:tcPr>
            <w:tcW w:w="6516" w:type="dxa"/>
          </w:tcPr>
          <w:p w:rsidR="00251005" w:rsidRDefault="00F72B19" w:rsidP="00747714">
            <w:pPr>
              <w:pStyle w:val="Informacindecontacto"/>
              <w:jc w:val="both"/>
            </w:pPr>
            <w:r>
              <w:lastRenderedPageBreak/>
              <w:t>Unidad de Acceso a la Información Pública</w:t>
            </w:r>
          </w:p>
          <w:p w:rsidR="00F72B19" w:rsidRDefault="00F72B19" w:rsidP="00747714">
            <w:pPr>
              <w:pStyle w:val="Informacindecontacto"/>
              <w:jc w:val="both"/>
            </w:pPr>
            <w:r>
              <w:t>Oficial de Información: Licenciada Karla Herminia Salinas Vásquez</w:t>
            </w:r>
          </w:p>
          <w:p w:rsidR="00F72B19" w:rsidRDefault="00F72B19" w:rsidP="00747714">
            <w:pPr>
              <w:pStyle w:val="Informacindecontacto"/>
              <w:jc w:val="both"/>
            </w:pPr>
            <w:r>
              <w:t xml:space="preserve">Correo electrónico: </w:t>
            </w:r>
            <w:hyperlink r:id="rId9" w:history="1">
              <w:r w:rsidRPr="00E8195F">
                <w:rPr>
                  <w:rStyle w:val="Hipervnculo"/>
                </w:rPr>
                <w:t>oir@consejodevigilancia.gob.sv</w:t>
              </w:r>
            </w:hyperlink>
          </w:p>
          <w:p w:rsidR="00F72B19" w:rsidRDefault="00F72B19" w:rsidP="00747714">
            <w:pPr>
              <w:pStyle w:val="Informacindecontacto"/>
              <w:jc w:val="both"/>
            </w:pPr>
            <w:r>
              <w:lastRenderedPageBreak/>
              <w:t>Teléfonos: 2245-4835, 2245-4836 y 2245-4840</w:t>
            </w:r>
          </w:p>
        </w:tc>
      </w:tr>
      <w:tr w:rsidR="00D1462D" w:rsidTr="00016CD6">
        <w:tc>
          <w:tcPr>
            <w:tcW w:w="1780" w:type="dxa"/>
          </w:tcPr>
          <w:p w:rsidR="00251005" w:rsidRDefault="00F72B19" w:rsidP="00747714">
            <w:pPr>
              <w:pStyle w:val="Informacindecontacto"/>
              <w:jc w:val="both"/>
            </w:pPr>
            <w:r>
              <w:t>4.3 Accesibilidad.</w:t>
            </w:r>
          </w:p>
        </w:tc>
        <w:tc>
          <w:tcPr>
            <w:tcW w:w="6516" w:type="dxa"/>
          </w:tcPr>
          <w:p w:rsidR="00251005" w:rsidRDefault="00F72B19" w:rsidP="00747714">
            <w:pPr>
              <w:pStyle w:val="Informacindecontacto"/>
              <w:jc w:val="both"/>
            </w:pPr>
            <w:r>
              <w:t>La entrada principal de la Unidad de Acceso a la Información Pública está ubicada en la 71 avenida sur No. 239 Colonia Escalón.</w:t>
            </w:r>
          </w:p>
        </w:tc>
      </w:tr>
      <w:tr w:rsidR="00F72B19" w:rsidTr="00602BE9">
        <w:tc>
          <w:tcPr>
            <w:tcW w:w="8296" w:type="dxa"/>
            <w:gridSpan w:val="2"/>
          </w:tcPr>
          <w:p w:rsidR="00F72B19" w:rsidRDefault="00F72B19" w:rsidP="00F72B19">
            <w:pPr>
              <w:pStyle w:val="Informacindecontacto"/>
              <w:numPr>
                <w:ilvl w:val="0"/>
                <w:numId w:val="16"/>
              </w:numPr>
              <w:jc w:val="both"/>
            </w:pPr>
            <w:r>
              <w:t>AREA DE SERVICIOS</w:t>
            </w:r>
          </w:p>
        </w:tc>
      </w:tr>
      <w:tr w:rsidR="00D1462D" w:rsidTr="00016CD6">
        <w:tc>
          <w:tcPr>
            <w:tcW w:w="1780" w:type="dxa"/>
          </w:tcPr>
          <w:p w:rsidR="00251005" w:rsidRDefault="00F72B19" w:rsidP="00747714">
            <w:pPr>
              <w:pStyle w:val="Informacindecontacto"/>
              <w:jc w:val="both"/>
            </w:pPr>
            <w:r>
              <w:t>5.1 Servicios de ayuda a la investigación.</w:t>
            </w:r>
          </w:p>
        </w:tc>
        <w:tc>
          <w:tcPr>
            <w:tcW w:w="6516" w:type="dxa"/>
          </w:tcPr>
          <w:p w:rsidR="00251005" w:rsidRDefault="00F72B19" w:rsidP="00747714">
            <w:pPr>
              <w:pStyle w:val="Informacindecontacto"/>
              <w:jc w:val="both"/>
            </w:pPr>
            <w:r>
              <w:t>La Unidad de Acceso a la Información Pública tiene a la disposición del usuario:</w:t>
            </w:r>
          </w:p>
          <w:p w:rsidR="00F72B19" w:rsidRDefault="00F72B19" w:rsidP="00F72B19">
            <w:pPr>
              <w:pStyle w:val="Informacindecontacto"/>
              <w:numPr>
                <w:ilvl w:val="0"/>
                <w:numId w:val="19"/>
              </w:numPr>
              <w:jc w:val="both"/>
            </w:pPr>
            <w:r>
              <w:t>Una persona que le oriente de la información oficiosa y demás documentación publicada en las páginas web del Consejo; además, se le muestra por medio de equipo informático LAPTOP para facilitar encontrar la información.</w:t>
            </w:r>
          </w:p>
          <w:p w:rsidR="00F72B19" w:rsidRDefault="00F72B19" w:rsidP="00F72B19">
            <w:pPr>
              <w:pStyle w:val="Informacindecontacto"/>
              <w:numPr>
                <w:ilvl w:val="0"/>
                <w:numId w:val="19"/>
              </w:numPr>
              <w:jc w:val="both"/>
            </w:pPr>
            <w:r>
              <w:t>Reproducción documental impresa</w:t>
            </w:r>
          </w:p>
          <w:p w:rsidR="00F72B19" w:rsidRDefault="00F72B19" w:rsidP="00F72B19">
            <w:pPr>
              <w:pStyle w:val="Informacindecontacto"/>
              <w:numPr>
                <w:ilvl w:val="0"/>
                <w:numId w:val="19"/>
              </w:numPr>
              <w:jc w:val="both"/>
            </w:pPr>
            <w:r>
              <w:t>Reproducción digital en USB o quemado de información en disco (de la información digital disponible en la web)</w:t>
            </w:r>
          </w:p>
          <w:p w:rsidR="00F72B19" w:rsidRDefault="00F72B19" w:rsidP="00F72B19">
            <w:pPr>
              <w:pStyle w:val="Informacindecontacto"/>
              <w:ind w:left="720"/>
              <w:jc w:val="both"/>
            </w:pPr>
          </w:p>
          <w:p w:rsidR="00F72B19" w:rsidRDefault="00F72B19" w:rsidP="00F72B19">
            <w:pPr>
              <w:pStyle w:val="Informacindecontacto"/>
              <w:jc w:val="both"/>
            </w:pPr>
            <w:r>
              <w:t xml:space="preserve">El horario de atención es de </w:t>
            </w:r>
            <w:r>
              <w:t>lunes a viernes de 7:30 a.m. a 12:00 m. y de 1:00 a 3:30 p.m.</w:t>
            </w:r>
          </w:p>
          <w:p w:rsidR="00F72B19" w:rsidRDefault="00F72B19" w:rsidP="00F72B19">
            <w:pPr>
              <w:pStyle w:val="Informacindecontacto"/>
              <w:jc w:val="both"/>
            </w:pPr>
          </w:p>
          <w:p w:rsidR="00F72B19" w:rsidRDefault="00F72B19" w:rsidP="00F72B19">
            <w:pPr>
              <w:pStyle w:val="Informacindecontacto"/>
              <w:jc w:val="both"/>
            </w:pPr>
            <w:r>
              <w:t>Se cierra durante mediodía.</w:t>
            </w:r>
            <w:bookmarkStart w:id="0" w:name="_GoBack"/>
            <w:bookmarkEnd w:id="0"/>
          </w:p>
        </w:tc>
      </w:tr>
      <w:tr w:rsidR="00D1462D" w:rsidTr="00016CD6">
        <w:tc>
          <w:tcPr>
            <w:tcW w:w="1780" w:type="dxa"/>
          </w:tcPr>
          <w:p w:rsidR="00251005" w:rsidRDefault="00F72B19" w:rsidP="00747714">
            <w:pPr>
              <w:pStyle w:val="Informacindecontacto"/>
              <w:jc w:val="both"/>
            </w:pPr>
            <w:r>
              <w:t>5.2 Servicios de reproducción.</w:t>
            </w:r>
          </w:p>
        </w:tc>
        <w:tc>
          <w:tcPr>
            <w:tcW w:w="6516" w:type="dxa"/>
          </w:tcPr>
          <w:p w:rsidR="00251005" w:rsidRDefault="00F72B19" w:rsidP="00747714">
            <w:pPr>
              <w:pStyle w:val="Informacindecontacto"/>
              <w:jc w:val="both"/>
            </w:pPr>
            <w:r>
              <w:t>Fotocopias simples y certificadas (en la unidad de acceso a la información pública)</w:t>
            </w:r>
          </w:p>
        </w:tc>
      </w:tr>
      <w:tr w:rsidR="00D1462D" w:rsidTr="00016CD6">
        <w:tc>
          <w:tcPr>
            <w:tcW w:w="1780" w:type="dxa"/>
          </w:tcPr>
          <w:p w:rsidR="00251005" w:rsidRDefault="00F72B19" w:rsidP="00747714">
            <w:pPr>
              <w:pStyle w:val="Informacindecontacto"/>
              <w:jc w:val="both"/>
            </w:pPr>
            <w:r>
              <w:t>5.3 Espacios públicos.</w:t>
            </w:r>
          </w:p>
        </w:tc>
        <w:tc>
          <w:tcPr>
            <w:tcW w:w="6516" w:type="dxa"/>
          </w:tcPr>
          <w:p w:rsidR="00251005" w:rsidRDefault="00F72B19" w:rsidP="00747714">
            <w:pPr>
              <w:pStyle w:val="Informacindecontacto"/>
              <w:jc w:val="both"/>
            </w:pPr>
            <w:r>
              <w:t>Baños para el público de visita (ambos sexos) en el edificio del Consejo.</w:t>
            </w:r>
          </w:p>
        </w:tc>
      </w:tr>
      <w:tr w:rsidR="00F72B19" w:rsidTr="00115C7A">
        <w:tc>
          <w:tcPr>
            <w:tcW w:w="8296" w:type="dxa"/>
            <w:gridSpan w:val="2"/>
          </w:tcPr>
          <w:p w:rsidR="00F72B19" w:rsidRDefault="00F72B19" w:rsidP="00F72B19">
            <w:pPr>
              <w:pStyle w:val="Informacindecontacto"/>
              <w:numPr>
                <w:ilvl w:val="0"/>
                <w:numId w:val="16"/>
              </w:numPr>
              <w:jc w:val="both"/>
            </w:pPr>
            <w:r>
              <w:t>AREA DE CONTROL</w:t>
            </w:r>
          </w:p>
        </w:tc>
      </w:tr>
      <w:tr w:rsidR="00D1462D" w:rsidTr="00016CD6">
        <w:tc>
          <w:tcPr>
            <w:tcW w:w="1780" w:type="dxa"/>
          </w:tcPr>
          <w:p w:rsidR="00251005" w:rsidRDefault="00F72B19" w:rsidP="00747714">
            <w:pPr>
              <w:pStyle w:val="Informacindecontacto"/>
              <w:jc w:val="both"/>
            </w:pPr>
            <w:r>
              <w:t>6.1 Identificación de la descripción.</w:t>
            </w:r>
          </w:p>
        </w:tc>
        <w:tc>
          <w:tcPr>
            <w:tcW w:w="6516" w:type="dxa"/>
          </w:tcPr>
          <w:p w:rsidR="00251005" w:rsidRDefault="00F72B19" w:rsidP="00747714">
            <w:pPr>
              <w:pStyle w:val="Informacindecontacto"/>
              <w:jc w:val="both"/>
            </w:pPr>
            <w:r>
              <w:t>No posee.</w:t>
            </w:r>
          </w:p>
        </w:tc>
      </w:tr>
      <w:tr w:rsidR="00D1462D" w:rsidTr="00016CD6">
        <w:tc>
          <w:tcPr>
            <w:tcW w:w="1780" w:type="dxa"/>
          </w:tcPr>
          <w:p w:rsidR="00251005" w:rsidRDefault="00F72B19" w:rsidP="00747714">
            <w:pPr>
              <w:pStyle w:val="Informacindecontacto"/>
              <w:jc w:val="both"/>
            </w:pPr>
            <w:r>
              <w:t>6.2 Identificador de la institución.</w:t>
            </w:r>
          </w:p>
        </w:tc>
        <w:tc>
          <w:tcPr>
            <w:tcW w:w="6516" w:type="dxa"/>
          </w:tcPr>
          <w:p w:rsidR="00251005" w:rsidRDefault="002B25EB" w:rsidP="00747714">
            <w:pPr>
              <w:pStyle w:val="Informacindecontacto"/>
              <w:jc w:val="both"/>
            </w:pPr>
            <w:r>
              <w:t>Consejo de Vigilancia de la Profesión de Contaduría Pública y Auditoría.</w:t>
            </w:r>
          </w:p>
          <w:p w:rsidR="002B25EB" w:rsidRDefault="002B25EB" w:rsidP="00747714">
            <w:pPr>
              <w:pStyle w:val="Informacindecontacto"/>
              <w:jc w:val="both"/>
            </w:pPr>
            <w:r>
              <w:t>Unidad de Gestión Documental y Archivo (No posee ya que es un cargo ad honorem)</w:t>
            </w:r>
          </w:p>
        </w:tc>
      </w:tr>
      <w:tr w:rsidR="00D1462D" w:rsidTr="00016CD6">
        <w:tc>
          <w:tcPr>
            <w:tcW w:w="1780" w:type="dxa"/>
          </w:tcPr>
          <w:p w:rsidR="00251005" w:rsidRDefault="002B25EB" w:rsidP="00747714">
            <w:pPr>
              <w:pStyle w:val="Informacindecontacto"/>
              <w:jc w:val="both"/>
            </w:pPr>
            <w:r>
              <w:t>6.3 Reglas y/o convenciones</w:t>
            </w:r>
          </w:p>
        </w:tc>
        <w:tc>
          <w:tcPr>
            <w:tcW w:w="6516" w:type="dxa"/>
          </w:tcPr>
          <w:p w:rsidR="00251005" w:rsidRDefault="002B25EB" w:rsidP="00747714">
            <w:pPr>
              <w:pStyle w:val="Informacindecontacto"/>
              <w:jc w:val="both"/>
            </w:pPr>
            <w:r>
              <w:t>Para la elaboración de esta descripción se utilizaron las siguientes normas:</w:t>
            </w:r>
          </w:p>
          <w:p w:rsidR="002B25EB" w:rsidRDefault="002B25EB" w:rsidP="002B25EB">
            <w:pPr>
              <w:pStyle w:val="Informacindecontacto"/>
              <w:numPr>
                <w:ilvl w:val="0"/>
                <w:numId w:val="17"/>
              </w:numPr>
              <w:jc w:val="both"/>
            </w:pPr>
            <w:r>
              <w:t>ISDIAH (Norma Internacional para describir instituciones que custodian fondos de archivos)</w:t>
            </w:r>
          </w:p>
        </w:tc>
      </w:tr>
      <w:tr w:rsidR="00D1462D" w:rsidTr="00016CD6">
        <w:tc>
          <w:tcPr>
            <w:tcW w:w="1780" w:type="dxa"/>
          </w:tcPr>
          <w:p w:rsidR="00251005" w:rsidRDefault="002B25EB" w:rsidP="00747714">
            <w:pPr>
              <w:pStyle w:val="Informacindecontacto"/>
              <w:jc w:val="both"/>
            </w:pPr>
            <w:r>
              <w:t>6.4 Estado de elaboración.</w:t>
            </w:r>
          </w:p>
        </w:tc>
        <w:tc>
          <w:tcPr>
            <w:tcW w:w="6516" w:type="dxa"/>
          </w:tcPr>
          <w:p w:rsidR="00251005" w:rsidRDefault="002B25EB" w:rsidP="00747714">
            <w:pPr>
              <w:pStyle w:val="Informacindecontacto"/>
              <w:jc w:val="both"/>
            </w:pPr>
            <w:r>
              <w:t>Descripción preliminar</w:t>
            </w:r>
          </w:p>
        </w:tc>
      </w:tr>
      <w:tr w:rsidR="002B25EB" w:rsidTr="00016CD6">
        <w:tc>
          <w:tcPr>
            <w:tcW w:w="1780" w:type="dxa"/>
          </w:tcPr>
          <w:p w:rsidR="002B25EB" w:rsidRDefault="002B25EB" w:rsidP="00747714">
            <w:pPr>
              <w:pStyle w:val="Informacindecontacto"/>
              <w:jc w:val="both"/>
            </w:pPr>
            <w:r>
              <w:t>6.5 Nivel de detalle</w:t>
            </w:r>
          </w:p>
        </w:tc>
        <w:tc>
          <w:tcPr>
            <w:tcW w:w="6516" w:type="dxa"/>
          </w:tcPr>
          <w:p w:rsidR="002B25EB" w:rsidRDefault="002B25EB" w:rsidP="00747714">
            <w:pPr>
              <w:pStyle w:val="Informacindecontacto"/>
              <w:jc w:val="both"/>
            </w:pPr>
            <w:r>
              <w:t>Nivel parcial</w:t>
            </w:r>
          </w:p>
        </w:tc>
      </w:tr>
      <w:tr w:rsidR="002B25EB" w:rsidTr="00016CD6">
        <w:tc>
          <w:tcPr>
            <w:tcW w:w="1780" w:type="dxa"/>
          </w:tcPr>
          <w:p w:rsidR="002B25EB" w:rsidRDefault="002B25EB" w:rsidP="00747714">
            <w:pPr>
              <w:pStyle w:val="Informacindecontacto"/>
              <w:jc w:val="both"/>
            </w:pPr>
            <w:r>
              <w:t>6.6 Fechas de creación, revisión o eliminación.</w:t>
            </w:r>
          </w:p>
        </w:tc>
        <w:tc>
          <w:tcPr>
            <w:tcW w:w="6516" w:type="dxa"/>
          </w:tcPr>
          <w:p w:rsidR="002B25EB" w:rsidRDefault="002B25EB" w:rsidP="00747714">
            <w:pPr>
              <w:pStyle w:val="Informacindecontacto"/>
              <w:jc w:val="both"/>
            </w:pPr>
            <w:r>
              <w:t>2019-05-31</w:t>
            </w:r>
          </w:p>
        </w:tc>
      </w:tr>
      <w:tr w:rsidR="002B25EB" w:rsidTr="00016CD6">
        <w:tc>
          <w:tcPr>
            <w:tcW w:w="1780" w:type="dxa"/>
          </w:tcPr>
          <w:p w:rsidR="002B25EB" w:rsidRDefault="002B25EB" w:rsidP="00747714">
            <w:pPr>
              <w:pStyle w:val="Informacindecontacto"/>
              <w:jc w:val="both"/>
            </w:pPr>
            <w:r>
              <w:t>6.7 Lengua y escritura</w:t>
            </w:r>
          </w:p>
        </w:tc>
        <w:tc>
          <w:tcPr>
            <w:tcW w:w="6516" w:type="dxa"/>
          </w:tcPr>
          <w:p w:rsidR="002B25EB" w:rsidRDefault="002B25EB" w:rsidP="00747714">
            <w:pPr>
              <w:pStyle w:val="Informacindecontacto"/>
              <w:jc w:val="both"/>
            </w:pPr>
            <w:r>
              <w:t>Español</w:t>
            </w:r>
          </w:p>
        </w:tc>
      </w:tr>
      <w:tr w:rsidR="002B25EB" w:rsidTr="00016CD6">
        <w:tc>
          <w:tcPr>
            <w:tcW w:w="1780" w:type="dxa"/>
          </w:tcPr>
          <w:p w:rsidR="002B25EB" w:rsidRDefault="002B25EB" w:rsidP="00747714">
            <w:pPr>
              <w:pStyle w:val="Informacindecontacto"/>
              <w:jc w:val="both"/>
            </w:pPr>
            <w:r>
              <w:t>6.8 Notas de mantenimiento</w:t>
            </w:r>
          </w:p>
        </w:tc>
        <w:tc>
          <w:tcPr>
            <w:tcW w:w="6516" w:type="dxa"/>
          </w:tcPr>
          <w:p w:rsidR="002B25EB" w:rsidRDefault="002B25EB" w:rsidP="00747714">
            <w:pPr>
              <w:pStyle w:val="Informacindecontacto"/>
              <w:jc w:val="both"/>
            </w:pPr>
            <w:r>
              <w:t>Responsable: Yesenia Esmeralda Cruz López, Oficial de Gestión Documental y Archivo Ad honorem.</w:t>
            </w:r>
          </w:p>
        </w:tc>
      </w:tr>
    </w:tbl>
    <w:p w:rsidR="00C6554A" w:rsidRPr="00914741" w:rsidRDefault="00C6554A" w:rsidP="002B25EB">
      <w:pPr>
        <w:pStyle w:val="Informacindecontacto"/>
        <w:jc w:val="left"/>
      </w:pPr>
    </w:p>
    <w:sectPr w:rsidR="00C6554A" w:rsidRPr="00914741" w:rsidSect="004C4497">
      <w:footerReference w:type="default" r:id="rId10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AD" w:rsidRDefault="00323BAD" w:rsidP="00C6554A">
      <w:pPr>
        <w:spacing w:before="0" w:after="0" w:line="240" w:lineRule="auto"/>
      </w:pPr>
      <w:r>
        <w:separator/>
      </w:r>
    </w:p>
  </w:endnote>
  <w:endnote w:type="continuationSeparator" w:id="0">
    <w:p w:rsidR="00323BAD" w:rsidRDefault="00323BAD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EE" w:rsidRDefault="00ED7C44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\* Arabic  \* MERGEFORMAT </w:instrText>
    </w:r>
    <w:r>
      <w:rPr>
        <w:lang w:bidi="es-ES"/>
      </w:rPr>
      <w:fldChar w:fldCharType="separate"/>
    </w:r>
    <w:r w:rsidR="002B25EB">
      <w:rPr>
        <w:noProof/>
        <w:lang w:bidi="es-ES"/>
      </w:rPr>
      <w:t>4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AD" w:rsidRDefault="00323BAD" w:rsidP="00C6554A">
      <w:pPr>
        <w:spacing w:before="0" w:after="0" w:line="240" w:lineRule="auto"/>
      </w:pPr>
      <w:r>
        <w:separator/>
      </w:r>
    </w:p>
  </w:footnote>
  <w:footnote w:type="continuationSeparator" w:id="0">
    <w:p w:rsidR="00323BAD" w:rsidRDefault="00323BAD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427444"/>
    <w:multiLevelType w:val="hybridMultilevel"/>
    <w:tmpl w:val="292023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52786"/>
    <w:multiLevelType w:val="hybridMultilevel"/>
    <w:tmpl w:val="0A3844F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C5E35"/>
    <w:multiLevelType w:val="hybridMultilevel"/>
    <w:tmpl w:val="25466B8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166A4"/>
    <w:multiLevelType w:val="hybridMultilevel"/>
    <w:tmpl w:val="70D40D88"/>
    <w:lvl w:ilvl="0" w:tplc="88A0FC44">
      <w:start w:val="1"/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14"/>
    <w:rsid w:val="00016CD6"/>
    <w:rsid w:val="00251005"/>
    <w:rsid w:val="002554CD"/>
    <w:rsid w:val="00293B83"/>
    <w:rsid w:val="002B25EB"/>
    <w:rsid w:val="002B4294"/>
    <w:rsid w:val="00323BAD"/>
    <w:rsid w:val="00333D0D"/>
    <w:rsid w:val="00432B9E"/>
    <w:rsid w:val="00473D5B"/>
    <w:rsid w:val="004C049F"/>
    <w:rsid w:val="004C4497"/>
    <w:rsid w:val="005000E2"/>
    <w:rsid w:val="00635977"/>
    <w:rsid w:val="006365FD"/>
    <w:rsid w:val="00646766"/>
    <w:rsid w:val="006A3CE7"/>
    <w:rsid w:val="00747714"/>
    <w:rsid w:val="00914741"/>
    <w:rsid w:val="00A450EC"/>
    <w:rsid w:val="00A978C4"/>
    <w:rsid w:val="00B145C1"/>
    <w:rsid w:val="00C6554A"/>
    <w:rsid w:val="00D1462D"/>
    <w:rsid w:val="00E922BF"/>
    <w:rsid w:val="00ED7C44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B8FA4E5-C970-491A-92AB-A27432B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D0D"/>
  </w:style>
  <w:style w:type="paragraph" w:styleId="Ttulo1">
    <w:name w:val="heading 1"/>
    <w:basedOn w:val="Normal"/>
    <w:next w:val="Normal"/>
    <w:link w:val="Ttulo1C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cindecontacto">
    <w:name w:val="Información de contacto"/>
    <w:basedOn w:val="Normal"/>
    <w:uiPriority w:val="4"/>
    <w:qFormat/>
    <w:rsid w:val="00C6554A"/>
    <w:pPr>
      <w:spacing w:before="0" w:after="0"/>
      <w:jc w:val="center"/>
    </w:pPr>
  </w:style>
  <w:style w:type="paragraph" w:styleId="Listaconvietas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Puesto">
    <w:name w:val="Title"/>
    <w:basedOn w:val="Normal"/>
    <w:link w:val="PuestoC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PuestoCar">
    <w:name w:val="Puesto Car"/>
    <w:basedOn w:val="Fuentedeprrafopredeter"/>
    <w:link w:val="Puesto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tulo">
    <w:name w:val="Subtitle"/>
    <w:basedOn w:val="Normal"/>
    <w:link w:val="SubttuloC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tuloCar">
    <w:name w:val="Subtítulo Car"/>
    <w:basedOn w:val="Fuentedeprrafopredeter"/>
    <w:link w:val="Subttulo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Piedepgina">
    <w:name w:val="footer"/>
    <w:basedOn w:val="Normal"/>
    <w:link w:val="PiedepginaC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554A"/>
    <w:rPr>
      <w:caps/>
    </w:rPr>
  </w:style>
  <w:style w:type="paragraph" w:customStyle="1" w:styleId="Foto">
    <w:name w:val="F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C6554A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aconnmeros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6554A"/>
    <w:rPr>
      <w:i/>
      <w:iCs/>
      <w:color w:val="007789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54A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6554A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6554A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554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554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5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554A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6554A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6554A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554A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6554A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ipervnculo">
    <w:name w:val="Hyperlink"/>
    <w:basedOn w:val="Fuentedeprrafopredeter"/>
    <w:uiPriority w:val="99"/>
    <w:unhideWhenUsed/>
    <w:rsid w:val="00C6554A"/>
    <w:rPr>
      <w:color w:val="835D00" w:themeColor="accent3" w:themeShade="80"/>
      <w:u w:val="single"/>
    </w:rPr>
  </w:style>
  <w:style w:type="paragraph" w:styleId="Textomacro">
    <w:name w:val="macro"/>
    <w:link w:val="TextomacroC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6554A"/>
    <w:rPr>
      <w:rFonts w:ascii="Consolas" w:hAnsi="Consolas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6554A"/>
    <w:rPr>
      <w:color w:val="595959" w:themeColor="text1" w:themeTint="A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6554A"/>
    <w:rPr>
      <w:rFonts w:ascii="Consolas" w:hAnsi="Consolas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table" w:styleId="Tablaconcuadrcula">
    <w:name w:val="Table Grid"/>
    <w:basedOn w:val="Tablanormal"/>
    <w:uiPriority w:val="39"/>
    <w:rsid w:val="007477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ir@consejodevigilancia.gob.s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encia\AppData\Roaming\Microsoft\Templates\Informe%20de%20estudiante%20con%20foto%20de%20portada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estudiante con foto de portada</Template>
  <TotalTime>0</TotalTime>
  <Pages>5</Pages>
  <Words>1288</Words>
  <Characters>7089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2</cp:revision>
  <cp:lastPrinted>2019-10-01T20:27:00Z</cp:lastPrinted>
  <dcterms:created xsi:type="dcterms:W3CDTF">2019-10-01T20:28:00Z</dcterms:created>
  <dcterms:modified xsi:type="dcterms:W3CDTF">2019-10-01T20:28:00Z</dcterms:modified>
</cp:coreProperties>
</file>