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1CE23" w14:textId="56B09491" w:rsidR="00A46BB7" w:rsidRPr="004715E5" w:rsidRDefault="00A46BB7" w:rsidP="004715E5">
      <w:pPr>
        <w:jc w:val="center"/>
        <w:rPr>
          <w:b/>
          <w:bCs/>
          <w:sz w:val="28"/>
          <w:szCs w:val="28"/>
        </w:rPr>
      </w:pPr>
      <w:r w:rsidRPr="00A46BB7">
        <w:rPr>
          <w:b/>
          <w:bCs/>
          <w:sz w:val="28"/>
          <w:szCs w:val="28"/>
        </w:rPr>
        <w:t>CVPCPA ANEXO 00</w:t>
      </w:r>
      <w:r w:rsidR="00DF667D">
        <w:rPr>
          <w:b/>
          <w:bCs/>
          <w:sz w:val="28"/>
          <w:szCs w:val="28"/>
        </w:rPr>
        <w:t>2</w:t>
      </w:r>
      <w:r w:rsidRPr="00A46BB7">
        <w:rPr>
          <w:b/>
          <w:bCs/>
          <w:sz w:val="28"/>
          <w:szCs w:val="28"/>
        </w:rPr>
        <w:t>-202</w:t>
      </w:r>
      <w:r w:rsidR="00DF667D">
        <w:rPr>
          <w:b/>
          <w:bCs/>
          <w:sz w:val="28"/>
          <w:szCs w:val="28"/>
        </w:rPr>
        <w:t>0</w:t>
      </w:r>
    </w:p>
    <w:p w14:paraId="14C84028" w14:textId="0A039816" w:rsidR="00A46BB7" w:rsidRDefault="00DF667D" w:rsidP="00DF667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F667D">
        <w:rPr>
          <w:rFonts w:ascii="Arial" w:hAnsi="Arial" w:cs="Arial"/>
          <w:sz w:val="24"/>
          <w:szCs w:val="24"/>
        </w:rPr>
        <w:t>“Para poder realizar una pericia forense la cual versa de</w:t>
      </w:r>
      <w:r>
        <w:rPr>
          <w:rFonts w:ascii="Arial" w:hAnsi="Arial" w:cs="Arial"/>
          <w:sz w:val="24"/>
          <w:szCs w:val="24"/>
        </w:rPr>
        <w:t xml:space="preserve"> </w:t>
      </w:r>
      <w:r w:rsidRPr="00DF667D">
        <w:rPr>
          <w:rFonts w:ascii="Arial" w:hAnsi="Arial" w:cs="Arial"/>
          <w:sz w:val="24"/>
          <w:szCs w:val="24"/>
        </w:rPr>
        <w:t>contabilidad</w:t>
      </w:r>
      <w:r>
        <w:rPr>
          <w:rFonts w:ascii="Arial" w:hAnsi="Arial" w:cs="Arial"/>
          <w:sz w:val="24"/>
          <w:szCs w:val="24"/>
        </w:rPr>
        <w:t xml:space="preserve"> </w:t>
      </w:r>
      <w:r w:rsidRPr="00DF667D">
        <w:rPr>
          <w:rFonts w:ascii="Arial" w:hAnsi="Arial" w:cs="Arial"/>
          <w:sz w:val="24"/>
          <w:szCs w:val="24"/>
        </w:rPr>
        <w:t xml:space="preserve">gubernamental debe ser </w:t>
      </w:r>
      <w:r>
        <w:rPr>
          <w:rFonts w:ascii="Arial" w:hAnsi="Arial" w:cs="Arial"/>
          <w:sz w:val="24"/>
          <w:szCs w:val="24"/>
        </w:rPr>
        <w:t xml:space="preserve">si </w:t>
      </w:r>
      <w:r w:rsidRPr="00DF667D">
        <w:rPr>
          <w:rFonts w:ascii="Arial" w:hAnsi="Arial" w:cs="Arial"/>
          <w:sz w:val="24"/>
          <w:szCs w:val="24"/>
        </w:rPr>
        <w:t>persona auditor y tener número?; Puede un</w:t>
      </w:r>
      <w:r>
        <w:rPr>
          <w:rFonts w:ascii="Arial" w:hAnsi="Arial" w:cs="Arial"/>
          <w:sz w:val="24"/>
          <w:szCs w:val="24"/>
        </w:rPr>
        <w:t xml:space="preserve"> </w:t>
      </w:r>
      <w:r w:rsidRPr="00DF667D">
        <w:rPr>
          <w:rFonts w:ascii="Arial" w:hAnsi="Arial" w:cs="Arial"/>
          <w:sz w:val="24"/>
          <w:szCs w:val="24"/>
        </w:rPr>
        <w:t xml:space="preserve">profesional de </w:t>
      </w:r>
      <w:r w:rsidRPr="00DF667D">
        <w:rPr>
          <w:rFonts w:ascii="Arial" w:hAnsi="Arial" w:cs="Arial"/>
          <w:sz w:val="24"/>
          <w:szCs w:val="24"/>
        </w:rPr>
        <w:t>Contaduría</w:t>
      </w:r>
      <w:r w:rsidRPr="00DF667D">
        <w:rPr>
          <w:rFonts w:ascii="Arial" w:hAnsi="Arial" w:cs="Arial"/>
          <w:sz w:val="24"/>
          <w:szCs w:val="24"/>
        </w:rPr>
        <w:t xml:space="preserve"> Pública, administración de empresas, Licenciados en</w:t>
      </w:r>
      <w:r w:rsidR="009C2408">
        <w:rPr>
          <w:rFonts w:ascii="Arial" w:hAnsi="Arial" w:cs="Arial"/>
          <w:sz w:val="24"/>
          <w:szCs w:val="24"/>
        </w:rPr>
        <w:t xml:space="preserve"> </w:t>
      </w:r>
      <w:r w:rsidRPr="00DF667D">
        <w:rPr>
          <w:rFonts w:ascii="Arial" w:hAnsi="Arial" w:cs="Arial"/>
          <w:sz w:val="24"/>
          <w:szCs w:val="24"/>
        </w:rPr>
        <w:t>Computación, quienes no se encuentran inscritos en el registro contadores públicos realizar</w:t>
      </w:r>
      <w:r>
        <w:rPr>
          <w:rFonts w:ascii="Arial" w:hAnsi="Arial" w:cs="Arial"/>
          <w:sz w:val="24"/>
          <w:szCs w:val="24"/>
        </w:rPr>
        <w:t xml:space="preserve"> </w:t>
      </w:r>
      <w:r w:rsidRPr="00DF667D">
        <w:rPr>
          <w:rFonts w:ascii="Arial" w:hAnsi="Arial" w:cs="Arial"/>
          <w:sz w:val="24"/>
          <w:szCs w:val="24"/>
        </w:rPr>
        <w:t>dentro de una pericia forense, repetir El examen de ejecución presupuestaria efectuado a la</w:t>
      </w:r>
      <w:r>
        <w:rPr>
          <w:rFonts w:ascii="Arial" w:hAnsi="Arial" w:cs="Arial"/>
          <w:sz w:val="24"/>
          <w:szCs w:val="24"/>
        </w:rPr>
        <w:t xml:space="preserve"> </w:t>
      </w:r>
      <w:r w:rsidRPr="00DF667D">
        <w:rPr>
          <w:rFonts w:ascii="Arial" w:hAnsi="Arial" w:cs="Arial"/>
          <w:sz w:val="24"/>
          <w:szCs w:val="24"/>
        </w:rPr>
        <w:t>Asamblea Legislativa del periodo uno de febrero al treinta y uno diciembre de dos mil once,</w:t>
      </w:r>
      <w:r>
        <w:rPr>
          <w:rFonts w:ascii="Arial" w:hAnsi="Arial" w:cs="Arial"/>
          <w:sz w:val="24"/>
          <w:szCs w:val="24"/>
        </w:rPr>
        <w:t xml:space="preserve"> </w:t>
      </w:r>
      <w:r w:rsidRPr="00DF667D">
        <w:rPr>
          <w:rFonts w:ascii="Arial" w:hAnsi="Arial" w:cs="Arial"/>
          <w:sz w:val="24"/>
          <w:szCs w:val="24"/>
        </w:rPr>
        <w:t>el cual ya fue realizado en sui oportunidad</w:t>
      </w:r>
      <w:r>
        <w:rPr>
          <w:rFonts w:ascii="Arial" w:hAnsi="Arial" w:cs="Arial"/>
          <w:sz w:val="24"/>
          <w:szCs w:val="24"/>
        </w:rPr>
        <w:t xml:space="preserve"> </w:t>
      </w:r>
      <w:r w:rsidRPr="00DF667D">
        <w:rPr>
          <w:rFonts w:ascii="Arial" w:hAnsi="Arial" w:cs="Arial"/>
          <w:sz w:val="24"/>
          <w:szCs w:val="24"/>
        </w:rPr>
        <w:t>por los auditores de la Corte de Cuentas de la</w:t>
      </w:r>
      <w:r>
        <w:rPr>
          <w:rFonts w:ascii="Arial" w:hAnsi="Arial" w:cs="Arial"/>
          <w:sz w:val="24"/>
          <w:szCs w:val="24"/>
        </w:rPr>
        <w:t xml:space="preserve"> </w:t>
      </w:r>
      <w:r w:rsidRPr="00DF667D">
        <w:rPr>
          <w:rFonts w:ascii="Arial" w:hAnsi="Arial" w:cs="Arial"/>
          <w:sz w:val="24"/>
          <w:szCs w:val="24"/>
        </w:rPr>
        <w:t>Republica.”</w:t>
      </w:r>
    </w:p>
    <w:p w14:paraId="46EE415C" w14:textId="3D4E3732" w:rsidR="009C2408" w:rsidRDefault="009C2408" w:rsidP="00DF667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CA84BA8" w14:textId="4CCB9A0C" w:rsidR="009C2408" w:rsidRPr="0051417C" w:rsidRDefault="009C2408" w:rsidP="005141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417C">
        <w:rPr>
          <w:rFonts w:ascii="Arial" w:hAnsi="Arial" w:cs="Arial"/>
          <w:sz w:val="24"/>
          <w:szCs w:val="24"/>
        </w:rPr>
        <w:t xml:space="preserve">Resuelve: </w:t>
      </w:r>
    </w:p>
    <w:p w14:paraId="11CA10C9" w14:textId="37C4F2C3" w:rsidR="009C2408" w:rsidRPr="0051417C" w:rsidRDefault="009C2408" w:rsidP="005141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417C">
        <w:rPr>
          <w:rFonts w:ascii="Arial" w:hAnsi="Arial" w:cs="Arial"/>
          <w:sz w:val="24"/>
          <w:szCs w:val="24"/>
        </w:rPr>
        <w:t>Conforme a memorándum 96/2020, de fecha 15 de octubre de 2020, recibido por la</w:t>
      </w:r>
      <w:r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suscrita en fecha 16 de octubre del mismo año, se trascribe de forma literal la</w:t>
      </w:r>
      <w:r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respuesta emitida por la licenciada Génesis Patricia Sandoval, jefe jurídico en</w:t>
      </w:r>
      <w:r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funciones, quien fue la delegada para dar respuesta a solicitud de información:</w:t>
      </w:r>
      <w:r w:rsidRPr="0051417C">
        <w:rPr>
          <w:rFonts w:ascii="Arial" w:hAnsi="Arial" w:cs="Arial"/>
          <w:sz w:val="24"/>
          <w:szCs w:val="24"/>
        </w:rPr>
        <w:t xml:space="preserve"> </w:t>
      </w:r>
    </w:p>
    <w:p w14:paraId="19A20453" w14:textId="77777777" w:rsidR="009C2408" w:rsidRPr="0051417C" w:rsidRDefault="009C2408" w:rsidP="005141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709856" w14:textId="77777777" w:rsidR="009C2408" w:rsidRPr="0051417C" w:rsidRDefault="009C2408" w:rsidP="005141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417C">
        <w:rPr>
          <w:rFonts w:ascii="Arial" w:hAnsi="Arial" w:cs="Arial"/>
          <w:sz w:val="24"/>
          <w:szCs w:val="24"/>
        </w:rPr>
        <w:t>“Por este</w:t>
      </w:r>
      <w:r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medio, hago referencia a solicitud presentada en cuanto a responder las</w:t>
      </w:r>
      <w:r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 xml:space="preserve">siguientes </w:t>
      </w:r>
      <w:r w:rsidRPr="0051417C">
        <w:rPr>
          <w:rFonts w:ascii="Arial" w:hAnsi="Arial" w:cs="Arial"/>
          <w:sz w:val="24"/>
          <w:szCs w:val="24"/>
        </w:rPr>
        <w:t xml:space="preserve">interrogantes: “ </w:t>
      </w:r>
    </w:p>
    <w:p w14:paraId="1B164A43" w14:textId="77777777" w:rsidR="009C2408" w:rsidRPr="0051417C" w:rsidRDefault="009C2408" w:rsidP="005141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79F2450" w14:textId="77777777" w:rsidR="009C2408" w:rsidRPr="0051417C" w:rsidRDefault="009C2408" w:rsidP="005141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417C">
        <w:rPr>
          <w:rFonts w:ascii="Arial" w:hAnsi="Arial" w:cs="Arial"/>
          <w:sz w:val="24"/>
          <w:szCs w:val="24"/>
        </w:rPr>
        <w:t>¿Para poder realizar una pericia forense la cual versa de contabilidad gubernamental debe ser la persona auditora y tener número?</w:t>
      </w:r>
      <w:r w:rsidRPr="0051417C">
        <w:rPr>
          <w:rFonts w:ascii="Arial" w:hAnsi="Arial" w:cs="Arial"/>
          <w:sz w:val="24"/>
          <w:szCs w:val="24"/>
        </w:rPr>
        <w:t>”</w:t>
      </w:r>
      <w:r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“</w:t>
      </w:r>
    </w:p>
    <w:p w14:paraId="49216A59" w14:textId="77777777" w:rsidR="009C2408" w:rsidRPr="0051417C" w:rsidRDefault="009C2408" w:rsidP="005141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AB812FC" w14:textId="34E4BB3E" w:rsidR="0051417C" w:rsidRPr="0051417C" w:rsidRDefault="009C2408" w:rsidP="005141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417C">
        <w:rPr>
          <w:rFonts w:ascii="Arial" w:hAnsi="Arial" w:cs="Arial"/>
          <w:sz w:val="24"/>
          <w:szCs w:val="24"/>
        </w:rPr>
        <w:t>Puede un profesional de la Contaduría Pública, administración de empresas,</w:t>
      </w:r>
      <w:r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Licenciados en Computación, quienes no se encuentran inscritos en el registro de</w:t>
      </w:r>
      <w:r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contadores</w:t>
      </w:r>
      <w:r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públicos realizar dentro de una pericia forense, repetir El examen de</w:t>
      </w:r>
      <w:r w:rsidRPr="0051417C">
        <w:rPr>
          <w:rFonts w:ascii="Arial" w:hAnsi="Arial" w:cs="Arial"/>
          <w:sz w:val="24"/>
          <w:szCs w:val="24"/>
        </w:rPr>
        <w:t xml:space="preserve"> ejecución </w:t>
      </w:r>
      <w:r w:rsidRPr="0051417C">
        <w:rPr>
          <w:rFonts w:ascii="Arial" w:hAnsi="Arial" w:cs="Arial"/>
          <w:sz w:val="24"/>
          <w:szCs w:val="24"/>
        </w:rPr>
        <w:t>presupuestaria</w:t>
      </w:r>
      <w:r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efectuado</w:t>
      </w:r>
      <w:r w:rsidR="0051417C" w:rsidRPr="0051417C">
        <w:rPr>
          <w:rFonts w:ascii="Arial" w:hAnsi="Arial" w:cs="Arial"/>
          <w:sz w:val="24"/>
          <w:szCs w:val="24"/>
        </w:rPr>
        <w:t xml:space="preserve"> Asamblea</w:t>
      </w:r>
      <w:r w:rsidRPr="0051417C">
        <w:rPr>
          <w:rFonts w:ascii="Arial" w:hAnsi="Arial" w:cs="Arial"/>
          <w:sz w:val="24"/>
          <w:szCs w:val="24"/>
        </w:rPr>
        <w:t xml:space="preserve"> Legislativa del periodo uno de</w:t>
      </w:r>
      <w:r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des</w:t>
      </w:r>
      <w:r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febrero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 xml:space="preserve">al treinta y uno de diciembre. </w:t>
      </w:r>
      <w:r w:rsidRPr="0051417C">
        <w:rPr>
          <w:rFonts w:ascii="Arial" w:hAnsi="Arial" w:cs="Arial"/>
          <w:sz w:val="24"/>
          <w:szCs w:val="24"/>
        </w:rPr>
        <w:t>D</w:t>
      </w:r>
      <w:r w:rsidRPr="0051417C">
        <w:rPr>
          <w:rFonts w:ascii="Arial" w:hAnsi="Arial" w:cs="Arial"/>
          <w:sz w:val="24"/>
          <w:szCs w:val="24"/>
        </w:rPr>
        <w:t>e</w:t>
      </w:r>
      <w:r w:rsidRPr="0051417C">
        <w:rPr>
          <w:rFonts w:ascii="Arial" w:hAnsi="Arial" w:cs="Arial"/>
          <w:sz w:val="24"/>
          <w:szCs w:val="24"/>
        </w:rPr>
        <w:t xml:space="preserve"> </w:t>
      </w:r>
      <w:r w:rsidR="0051417C" w:rsidRPr="0051417C">
        <w:rPr>
          <w:rFonts w:ascii="Arial" w:hAnsi="Arial" w:cs="Arial"/>
          <w:sz w:val="24"/>
          <w:szCs w:val="24"/>
        </w:rPr>
        <w:t>dos mil once</w:t>
      </w:r>
      <w:r w:rsidRPr="0051417C">
        <w:rPr>
          <w:rFonts w:ascii="Arial" w:hAnsi="Arial" w:cs="Arial"/>
          <w:sz w:val="24"/>
          <w:szCs w:val="24"/>
        </w:rPr>
        <w:t>, el cual ya fue realizado en su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oportunidad por los auditores de la Corte de Cuentas de la República.”</w:t>
      </w:r>
    </w:p>
    <w:p w14:paraId="15F3AD6C" w14:textId="77777777" w:rsidR="0051417C" w:rsidRPr="0051417C" w:rsidRDefault="0051417C" w:rsidP="005141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6071239" w14:textId="77777777" w:rsidR="0051417C" w:rsidRPr="0051417C" w:rsidRDefault="0051417C" w:rsidP="005141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6C5F80B" w14:textId="77777777" w:rsidR="0051417C" w:rsidRPr="0051417C" w:rsidRDefault="0051417C" w:rsidP="005141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417C">
        <w:rPr>
          <w:rFonts w:ascii="Arial" w:hAnsi="Arial" w:cs="Arial"/>
          <w:sz w:val="24"/>
          <w:szCs w:val="24"/>
        </w:rPr>
        <w:t>En cuanto a la primera de las preguntas detalladas:</w:t>
      </w:r>
    </w:p>
    <w:p w14:paraId="231036E6" w14:textId="0BB05553" w:rsidR="009C2408" w:rsidRPr="0051417C" w:rsidRDefault="009C2408" w:rsidP="005141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417C">
        <w:rPr>
          <w:rFonts w:ascii="Arial" w:hAnsi="Arial" w:cs="Arial"/>
          <w:sz w:val="24"/>
          <w:szCs w:val="24"/>
        </w:rPr>
        <w:tab/>
      </w:r>
    </w:p>
    <w:p w14:paraId="1A39878D" w14:textId="78A279AA" w:rsidR="009C2408" w:rsidRPr="0051417C" w:rsidRDefault="009C2408" w:rsidP="005141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417C">
        <w:rPr>
          <w:rFonts w:ascii="Arial" w:hAnsi="Arial" w:cs="Arial"/>
          <w:sz w:val="24"/>
          <w:szCs w:val="24"/>
        </w:rPr>
        <w:t>Que, en vista de tal consulta, el Consejo Directivo, por medio de sesión que consta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en el acta 18/2020 de fecha 13 del corriente mes y año, delego en esta unidad la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responsabilidad de ser el canal para brindar el criterio y respuesta a fales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interrogantes, mismas que ya fueron evaluadas por dicho ente colegiado, por lo que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se procede a responder de la siguiente manera:</w:t>
      </w:r>
    </w:p>
    <w:p w14:paraId="0C226F57" w14:textId="77777777" w:rsidR="0051417C" w:rsidRPr="0051417C" w:rsidRDefault="0051417C" w:rsidP="005141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C11FEDF" w14:textId="20160465" w:rsidR="009C2408" w:rsidRPr="0051417C" w:rsidRDefault="009C2408" w:rsidP="005141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417C">
        <w:rPr>
          <w:rFonts w:ascii="Arial" w:hAnsi="Arial" w:cs="Arial"/>
          <w:sz w:val="24"/>
          <w:szCs w:val="24"/>
        </w:rPr>
        <w:t>En cuanto a la primera de las preguntas detalladas:</w:t>
      </w:r>
    </w:p>
    <w:p w14:paraId="07B35B7B" w14:textId="77777777" w:rsidR="0051417C" w:rsidRPr="0051417C" w:rsidRDefault="0051417C" w:rsidP="005141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968C42C" w14:textId="4A8063B3" w:rsidR="009C2408" w:rsidRPr="0051417C" w:rsidRDefault="009C2408" w:rsidP="005141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417C">
        <w:rPr>
          <w:rFonts w:ascii="Arial" w:hAnsi="Arial" w:cs="Arial"/>
          <w:sz w:val="24"/>
          <w:szCs w:val="24"/>
        </w:rPr>
        <w:t>Que las pericias contables deben ser realizadas por los profesionales acreditados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para el ejercicio de la profesión a la que nos referimos, y siendo el caso que este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Consejo solamente regula el ejercicio de la Contabilidad y Auditoría de conformidad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con los artículos 1, 8, 6, y 36 literal “a” de la Ley Reguladora del Ejercicio de la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Contaduría, profesiones que se rigen bajo los parámetros de la referida Ley y de las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Normas internacionales aplicables y adoptadas por este Consejo de conformidad con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el articulo 1 parte final del mismo cuerpo legal.</w:t>
      </w:r>
    </w:p>
    <w:p w14:paraId="21280678" w14:textId="77777777" w:rsidR="0051417C" w:rsidRPr="0051417C" w:rsidRDefault="009C2408" w:rsidP="005141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417C">
        <w:rPr>
          <w:rFonts w:ascii="Arial" w:hAnsi="Arial" w:cs="Arial"/>
          <w:sz w:val="24"/>
          <w:szCs w:val="24"/>
        </w:rPr>
        <w:t>Dicho lo anterior, podemos ver que esta institución no posee facultad para regular,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vigilar o intervenir en la práctica de la auditoría diferente a la externa, en vista que los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auditores gubernamentales se rigen bajo las Normas especiales de cada institución a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la que pertenecen y que no han sido adoptadas por este Consejo, siendo materia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ajena del conocimiento de este Consejo, ya que la contabilidad gubernamental se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encuentra regulada por la Ley Orgánica de la Administración Financiera del Estado,</w:t>
      </w:r>
      <w:r w:rsidR="0051417C" w:rsidRPr="0051417C">
        <w:rPr>
          <w:rFonts w:ascii="Arial" w:hAnsi="Arial" w:cs="Arial"/>
          <w:sz w:val="24"/>
          <w:szCs w:val="24"/>
        </w:rPr>
        <w:t xml:space="preserve"> específicamente</w:t>
      </w:r>
      <w:r w:rsidRPr="0051417C">
        <w:rPr>
          <w:rFonts w:ascii="Arial" w:hAnsi="Arial" w:cs="Arial"/>
          <w:sz w:val="24"/>
          <w:szCs w:val="24"/>
        </w:rPr>
        <w:t xml:space="preserve"> en sus artículos 98 al 106, donde se puede observar que el ente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fiscalizador de tal tarea es el Ministerio de Hacienda, de igual manera se encuentra el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Reglamento de la Ley Orgánica de Contabilidad Gubernamental, desde su artículo 29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y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 xml:space="preserve">siguientes. </w:t>
      </w:r>
    </w:p>
    <w:p w14:paraId="370FEC60" w14:textId="34CC6AC0" w:rsidR="009C2408" w:rsidRPr="0051417C" w:rsidRDefault="009C2408" w:rsidP="005141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417C">
        <w:rPr>
          <w:rFonts w:ascii="Arial" w:hAnsi="Arial" w:cs="Arial"/>
          <w:sz w:val="24"/>
          <w:szCs w:val="24"/>
        </w:rPr>
        <w:t>Ahora bien, en cuanto a la segunda interrogante:</w:t>
      </w:r>
    </w:p>
    <w:p w14:paraId="1BC0D682" w14:textId="4FF1ECC7" w:rsidR="009C2408" w:rsidRPr="0051417C" w:rsidRDefault="009C2408" w:rsidP="005141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B28715" w14:textId="77777777" w:rsidR="0051417C" w:rsidRDefault="009C2408" w:rsidP="005141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417C">
        <w:rPr>
          <w:rFonts w:ascii="Arial" w:hAnsi="Arial" w:cs="Arial"/>
          <w:sz w:val="24"/>
          <w:szCs w:val="24"/>
        </w:rPr>
        <w:t>Cabe mencionar que, este Consejo es del criterio que los peritajes contables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deberían de ser firmados por los profesionales que se encuentran debidamente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acreditados para tal efecto.</w:t>
      </w:r>
    </w:p>
    <w:p w14:paraId="63FC6BE1" w14:textId="5AAA5C89" w:rsidR="009C2408" w:rsidRPr="0051417C" w:rsidRDefault="009C2408" w:rsidP="005141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417C">
        <w:rPr>
          <w:rFonts w:ascii="Arial" w:hAnsi="Arial" w:cs="Arial"/>
          <w:sz w:val="24"/>
          <w:szCs w:val="24"/>
        </w:rPr>
        <w:t>Asimismo, reiteramos que este Consejo solamente posee jurisdicción para regular y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vigilar el ejercicio de la profesión de contaduría y auditoría, y por lo tanto solamente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se procede a inscribir a aquellas personas que ejercen tan honorable profesión, y que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cumplen con los requisitos establecidos en los artículos 2 y 3 de la Ley Reguladora</w:t>
      </w:r>
    </w:p>
    <w:p w14:paraId="152F28D6" w14:textId="304F3927" w:rsidR="009C2408" w:rsidRPr="0051417C" w:rsidRDefault="009C2408" w:rsidP="005141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417C">
        <w:rPr>
          <w:rFonts w:ascii="Arial" w:hAnsi="Arial" w:cs="Arial"/>
          <w:sz w:val="24"/>
          <w:szCs w:val="24"/>
        </w:rPr>
        <w:t>del Ejercicio de la Contaduría, y que al leer cada uno de los requisitos que la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mencionada disposición detalla, podemos ver que deja fuera de poder adquirir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acreditación aquellas personas que no posean los respectivos títulos que los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acrediten como los diferentes tipos de Bachilleratos orientados a la contaduría, o la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Licenciatura en Contaduría Pública; es decir, que los administradores de empresas,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licenciados en computación o cualquier otro tipo de profesión diferente a la</w:t>
      </w:r>
      <w:r w:rsidR="0051417C" w:rsidRPr="0051417C">
        <w:rPr>
          <w:rFonts w:ascii="Arial" w:hAnsi="Arial" w:cs="Arial"/>
          <w:sz w:val="24"/>
          <w:szCs w:val="24"/>
        </w:rPr>
        <w:t xml:space="preserve"> </w:t>
      </w:r>
      <w:r w:rsidRPr="0051417C">
        <w:rPr>
          <w:rFonts w:ascii="Arial" w:hAnsi="Arial" w:cs="Arial"/>
          <w:sz w:val="24"/>
          <w:szCs w:val="24"/>
        </w:rPr>
        <w:t>mencionada en el artículo 3 en referencia, no son sujetos de ser acreditados e</w:t>
      </w:r>
    </w:p>
    <w:p w14:paraId="0F1566F0" w14:textId="4D3E5D8D" w:rsidR="009C2408" w:rsidRPr="0051417C" w:rsidRDefault="009C2408" w:rsidP="005141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417C">
        <w:rPr>
          <w:rFonts w:ascii="Arial" w:hAnsi="Arial" w:cs="Arial"/>
          <w:sz w:val="24"/>
          <w:szCs w:val="24"/>
        </w:rPr>
        <w:t>inscritos en los registros que este Consejo lleva, como contadores y/o auditores”.</w:t>
      </w:r>
    </w:p>
    <w:sectPr w:rsidR="009C2408" w:rsidRPr="0051417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CC722" w14:textId="77777777" w:rsidR="007E22F5" w:rsidRDefault="007E22F5" w:rsidP="00A32673">
      <w:pPr>
        <w:spacing w:after="0" w:line="240" w:lineRule="auto"/>
      </w:pPr>
      <w:r>
        <w:separator/>
      </w:r>
    </w:p>
  </w:endnote>
  <w:endnote w:type="continuationSeparator" w:id="0">
    <w:p w14:paraId="5A7CD751" w14:textId="77777777" w:rsidR="007E22F5" w:rsidRDefault="007E22F5" w:rsidP="00A3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CD6B6" w14:textId="77777777" w:rsidR="007E22F5" w:rsidRDefault="007E22F5" w:rsidP="00A32673">
      <w:pPr>
        <w:spacing w:after="0" w:line="240" w:lineRule="auto"/>
      </w:pPr>
      <w:r>
        <w:separator/>
      </w:r>
    </w:p>
  </w:footnote>
  <w:footnote w:type="continuationSeparator" w:id="0">
    <w:p w14:paraId="3C3E1D51" w14:textId="77777777" w:rsidR="007E22F5" w:rsidRDefault="007E22F5" w:rsidP="00A3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F1C9F" w14:textId="27566256" w:rsidR="004715E5" w:rsidRDefault="004715E5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59264" behindDoc="0" locked="0" layoutInCell="1" allowOverlap="1" wp14:anchorId="380737FD" wp14:editId="6EABE467">
          <wp:simplePos x="0" y="0"/>
          <wp:positionH relativeFrom="column">
            <wp:posOffset>-742950</wp:posOffset>
          </wp:positionH>
          <wp:positionV relativeFrom="paragraph">
            <wp:posOffset>-305435</wp:posOffset>
          </wp:positionV>
          <wp:extent cx="1744980" cy="723900"/>
          <wp:effectExtent l="0" t="0" r="7620" b="0"/>
          <wp:wrapTopAndBottom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ficial_2019-2024-v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98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05865"/>
    <w:multiLevelType w:val="hybridMultilevel"/>
    <w:tmpl w:val="D9067B5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90D5F"/>
    <w:multiLevelType w:val="hybridMultilevel"/>
    <w:tmpl w:val="5A583E70"/>
    <w:lvl w:ilvl="0" w:tplc="2A9C2D7A">
      <w:start w:val="1"/>
      <w:numFmt w:val="upperRoman"/>
      <w:lvlText w:val="%1-"/>
      <w:lvlJc w:val="left"/>
      <w:pPr>
        <w:ind w:left="720" w:hanging="360"/>
      </w:pPr>
      <w:rPr>
        <w:rFonts w:hint="default"/>
        <w:lang w:val="es-SV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6765B"/>
    <w:multiLevelType w:val="hybridMultilevel"/>
    <w:tmpl w:val="B67E8D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B7"/>
    <w:rsid w:val="00085927"/>
    <w:rsid w:val="004715E5"/>
    <w:rsid w:val="0051417C"/>
    <w:rsid w:val="007E22F5"/>
    <w:rsid w:val="009C2408"/>
    <w:rsid w:val="00A32673"/>
    <w:rsid w:val="00A46BB7"/>
    <w:rsid w:val="00A71A06"/>
    <w:rsid w:val="00DF667D"/>
    <w:rsid w:val="00DF6BAB"/>
    <w:rsid w:val="00E02605"/>
    <w:rsid w:val="00F3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761B7"/>
  <w15:chartTrackingRefBased/>
  <w15:docId w15:val="{1F1B602E-99EF-4282-98F8-87E89837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46BB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92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326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673"/>
  </w:style>
  <w:style w:type="paragraph" w:styleId="Piedepgina">
    <w:name w:val="footer"/>
    <w:basedOn w:val="Normal"/>
    <w:link w:val="PiedepginaCar"/>
    <w:uiPriority w:val="99"/>
    <w:unhideWhenUsed/>
    <w:rsid w:val="00A326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673"/>
  </w:style>
  <w:style w:type="table" w:styleId="Tablaconcuadrcula">
    <w:name w:val="Table Grid"/>
    <w:basedOn w:val="Tablanormal"/>
    <w:uiPriority w:val="39"/>
    <w:rsid w:val="00F3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15645</dc:creator>
  <cp:keywords/>
  <dc:description/>
  <cp:lastModifiedBy>15645</cp:lastModifiedBy>
  <cp:revision>2</cp:revision>
  <dcterms:created xsi:type="dcterms:W3CDTF">2021-05-04T20:29:00Z</dcterms:created>
  <dcterms:modified xsi:type="dcterms:W3CDTF">2021-05-04T20:29:00Z</dcterms:modified>
</cp:coreProperties>
</file>