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7A" w:rsidRPr="00C6130B" w:rsidRDefault="0049427A" w:rsidP="0049427A">
      <w:pPr>
        <w:pStyle w:val="Ttulo3"/>
        <w:rPr>
          <w:rFonts w:asciiTheme="minorHAnsi" w:hAnsiTheme="minorHAnsi" w:cstheme="minorHAnsi"/>
          <w:color w:val="000000" w:themeColor="text1"/>
        </w:rPr>
      </w:pPr>
      <w:bookmarkStart w:id="0" w:name="_Toc476839081"/>
      <w:bookmarkStart w:id="1" w:name="_GoBack"/>
      <w:bookmarkEnd w:id="1"/>
      <w:r w:rsidRPr="00C6130B">
        <w:rPr>
          <w:rFonts w:asciiTheme="minorHAnsi" w:hAnsiTheme="minorHAnsi" w:cstheme="minorHAnsi"/>
          <w:color w:val="000000" w:themeColor="text1"/>
        </w:rPr>
        <w:t>Escuela Nacional de Agricultura “Roberto Quiñonez” (ENA)</w:t>
      </w:r>
      <w:bookmarkEnd w:id="0"/>
    </w:p>
    <w:p w:rsidR="0049427A" w:rsidRPr="00C6130B" w:rsidRDefault="0049427A" w:rsidP="0049427A">
      <w:pPr>
        <w:rPr>
          <w:rFonts w:asciiTheme="minorHAnsi" w:hAnsiTheme="minorHAnsi" w:cstheme="minorHAnsi"/>
          <w:b/>
          <w:color w:val="000000" w:themeColor="text1"/>
        </w:rPr>
      </w:pPr>
    </w:p>
    <w:p w:rsidR="0049427A" w:rsidRPr="00C6130B" w:rsidRDefault="0049427A" w:rsidP="0049427A">
      <w:pPr>
        <w:rPr>
          <w:rFonts w:asciiTheme="minorHAnsi" w:hAnsiTheme="minorHAnsi" w:cstheme="minorHAnsi"/>
          <w:color w:val="000000" w:themeColor="text1"/>
        </w:rPr>
      </w:pPr>
      <w:r w:rsidRPr="00C6130B">
        <w:rPr>
          <w:rFonts w:asciiTheme="minorHAnsi" w:hAnsiTheme="minorHAnsi" w:cstheme="minorHAnsi"/>
          <w:color w:val="000000" w:themeColor="text1"/>
        </w:rPr>
        <w:t xml:space="preserve">La ENA, entidad responsable de la formación teórica práctica de Técnicos Agrónomos, realizó esfuerzos en la vía de fortalecer y modernizar los servicios prestados a jóvenes estudiantes y productores agropecuarios, entre los principales se mencionan los siguientes: </w:t>
      </w:r>
    </w:p>
    <w:p w:rsidR="0049427A" w:rsidRPr="00C6130B" w:rsidRDefault="0049427A" w:rsidP="0049427A">
      <w:pPr>
        <w:rPr>
          <w:rFonts w:asciiTheme="minorHAnsi" w:hAnsiTheme="minorHAnsi" w:cstheme="minorHAnsi"/>
          <w:color w:val="000000" w:themeColor="text1"/>
        </w:rPr>
      </w:pPr>
    </w:p>
    <w:p w:rsidR="0049427A" w:rsidRPr="00C6130B" w:rsidRDefault="0049427A" w:rsidP="0049427A">
      <w:pPr>
        <w:pStyle w:val="Prrafodelista"/>
        <w:numPr>
          <w:ilvl w:val="0"/>
          <w:numId w:val="1"/>
        </w:numPr>
        <w:spacing w:before="240" w:after="240" w:line="240" w:lineRule="auto"/>
        <w:ind w:left="284" w:hanging="284"/>
        <w:contextualSpacing w:val="0"/>
        <w:jc w:val="both"/>
        <w:rPr>
          <w:rFonts w:cstheme="minorHAnsi"/>
          <w:color w:val="000000" w:themeColor="text1"/>
          <w:sz w:val="24"/>
          <w:szCs w:val="24"/>
        </w:rPr>
      </w:pPr>
      <w:r w:rsidRPr="00C6130B">
        <w:rPr>
          <w:rFonts w:cstheme="minorHAnsi"/>
          <w:color w:val="000000" w:themeColor="text1"/>
          <w:sz w:val="24"/>
          <w:szCs w:val="24"/>
        </w:rPr>
        <w:t xml:space="preserve">Se graduó a </w:t>
      </w:r>
      <w:r w:rsidRPr="00C6130B">
        <w:rPr>
          <w:rFonts w:cstheme="minorHAnsi"/>
          <w:b/>
          <w:color w:val="000000" w:themeColor="text1"/>
          <w:sz w:val="24"/>
          <w:szCs w:val="24"/>
        </w:rPr>
        <w:t>91 jóvenes</w:t>
      </w:r>
      <w:r w:rsidRPr="00C6130B">
        <w:rPr>
          <w:rFonts w:cstheme="minorHAnsi"/>
          <w:color w:val="000000" w:themeColor="text1"/>
          <w:sz w:val="24"/>
          <w:szCs w:val="24"/>
        </w:rPr>
        <w:t xml:space="preserve"> (75 hombres y 16 mujeres) de la carrera de Técnico en Agronomía; de los cuales 85 (93.4%) contaban con beca completa, el 77.0% de éstos a través de INSAFORP y el resto por el programa de Amanecer Rural (15.8%), Programa Oportunidades (5.5%) </w:t>
      </w:r>
      <w:proofErr w:type="spellStart"/>
      <w:proofErr w:type="gramStart"/>
      <w:r w:rsidRPr="00C6130B">
        <w:rPr>
          <w:rFonts w:cstheme="minorHAnsi"/>
          <w:color w:val="000000" w:themeColor="text1"/>
          <w:sz w:val="24"/>
          <w:szCs w:val="24"/>
        </w:rPr>
        <w:t>yBFA</w:t>
      </w:r>
      <w:proofErr w:type="spellEnd"/>
      <w:r w:rsidRPr="00C6130B">
        <w:rPr>
          <w:rFonts w:cstheme="minorHAnsi"/>
          <w:color w:val="000000" w:themeColor="text1"/>
          <w:sz w:val="24"/>
          <w:szCs w:val="24"/>
        </w:rPr>
        <w:t>(</w:t>
      </w:r>
      <w:proofErr w:type="gramEnd"/>
      <w:r w:rsidRPr="00C6130B">
        <w:rPr>
          <w:rFonts w:cstheme="minorHAnsi"/>
          <w:color w:val="000000" w:themeColor="text1"/>
          <w:sz w:val="24"/>
          <w:szCs w:val="24"/>
        </w:rPr>
        <w:t>1.7%), entre otros. Esta fue la LVII promoción de la Escuela Nacional de Agricultura, contribuyendo con la sociedad salvadoreña mediante la formación de profesionales altamente capacitados y listos para trabajar en favor del desarrollo socioeconómico y sostenible del sector agropecuario del país.</w:t>
      </w:r>
    </w:p>
    <w:p w:rsidR="0049427A" w:rsidRPr="00C6130B" w:rsidRDefault="0049427A" w:rsidP="0049427A">
      <w:pPr>
        <w:pStyle w:val="Prrafodelista"/>
        <w:numPr>
          <w:ilvl w:val="0"/>
          <w:numId w:val="1"/>
        </w:numPr>
        <w:spacing w:before="240" w:after="240" w:line="240" w:lineRule="auto"/>
        <w:ind w:left="284" w:hanging="284"/>
        <w:contextualSpacing w:val="0"/>
        <w:jc w:val="both"/>
        <w:rPr>
          <w:rFonts w:cstheme="minorHAnsi"/>
          <w:color w:val="000000" w:themeColor="text1"/>
          <w:sz w:val="24"/>
          <w:szCs w:val="24"/>
        </w:rPr>
      </w:pPr>
      <w:r w:rsidRPr="00C6130B">
        <w:rPr>
          <w:rFonts w:cstheme="minorHAnsi"/>
          <w:color w:val="000000" w:themeColor="text1"/>
          <w:sz w:val="24"/>
          <w:szCs w:val="24"/>
        </w:rPr>
        <w:t>Se atendió a</w:t>
      </w:r>
      <w:r w:rsidRPr="00C6130B">
        <w:rPr>
          <w:rFonts w:cstheme="minorHAnsi"/>
          <w:b/>
          <w:color w:val="000000" w:themeColor="text1"/>
          <w:sz w:val="24"/>
          <w:szCs w:val="24"/>
        </w:rPr>
        <w:t xml:space="preserve"> 320 jóvenes</w:t>
      </w:r>
      <w:r w:rsidRPr="00C6130B">
        <w:rPr>
          <w:rFonts w:cstheme="minorHAnsi"/>
          <w:color w:val="000000" w:themeColor="text1"/>
          <w:sz w:val="24"/>
          <w:szCs w:val="24"/>
        </w:rPr>
        <w:t xml:space="preserve"> (64 mujeres y 256 hombres) que están en proceso de formación de la carrera de Técnico en Agronomía, de los cuales 291 (91.0%) están becados (224 hombres y 67 señoritas), el 77% de éstos a través de INSAFORP y el resto por el programa de Amanecer Rural (15.8%), Programa Oportunidades (5.5%) y BFA (1.7%), quienes deben cumplir con un plan de tres años intensivos bajo la metodología “Aprender Haciendo”. Los hombres y señoritas provienen del área rural, son jóvenes de escasos recursos que han mostrado alto rendimiento en sus estudios. </w:t>
      </w:r>
    </w:p>
    <w:p w:rsidR="0049427A" w:rsidRPr="00C6130B" w:rsidRDefault="0049427A" w:rsidP="0049427A">
      <w:pPr>
        <w:pStyle w:val="Prrafodelista"/>
        <w:spacing w:before="240" w:after="240" w:line="240" w:lineRule="auto"/>
        <w:ind w:left="284"/>
        <w:contextualSpacing w:val="0"/>
        <w:jc w:val="both"/>
        <w:rPr>
          <w:rFonts w:cstheme="minorHAnsi"/>
          <w:color w:val="000000" w:themeColor="text1"/>
          <w:sz w:val="24"/>
          <w:szCs w:val="24"/>
        </w:rPr>
      </w:pPr>
    </w:p>
    <w:p w:rsidR="0049427A" w:rsidRPr="00C6130B" w:rsidRDefault="0049427A" w:rsidP="0049427A">
      <w:pPr>
        <w:pStyle w:val="Prrafodelista"/>
        <w:spacing w:before="240" w:after="240" w:line="240" w:lineRule="auto"/>
        <w:ind w:left="284"/>
        <w:contextualSpacing w:val="0"/>
        <w:jc w:val="both"/>
        <w:rPr>
          <w:rFonts w:cstheme="minorHAnsi"/>
          <w:b/>
          <w:color w:val="000000" w:themeColor="text1"/>
          <w:sz w:val="24"/>
          <w:szCs w:val="24"/>
        </w:rPr>
      </w:pPr>
      <w:r w:rsidRPr="00C6130B">
        <w:rPr>
          <w:rFonts w:cstheme="minorHAnsi"/>
          <w:b/>
          <w:color w:val="000000" w:themeColor="text1"/>
          <w:sz w:val="24"/>
          <w:szCs w:val="24"/>
        </w:rPr>
        <w:t>Proyección social</w:t>
      </w:r>
    </w:p>
    <w:p w:rsidR="0049427A" w:rsidRPr="00C6130B" w:rsidRDefault="0049427A" w:rsidP="0049427A">
      <w:pPr>
        <w:pStyle w:val="Prrafodelista"/>
        <w:numPr>
          <w:ilvl w:val="0"/>
          <w:numId w:val="1"/>
        </w:numPr>
        <w:spacing w:before="240" w:after="240" w:line="240" w:lineRule="auto"/>
        <w:ind w:left="284" w:hanging="284"/>
        <w:contextualSpacing w:val="0"/>
        <w:jc w:val="both"/>
        <w:rPr>
          <w:rFonts w:cstheme="minorHAnsi"/>
          <w:color w:val="000000" w:themeColor="text1"/>
          <w:sz w:val="24"/>
          <w:szCs w:val="24"/>
        </w:rPr>
      </w:pPr>
      <w:r w:rsidRPr="00C6130B">
        <w:rPr>
          <w:rFonts w:cstheme="minorHAnsi"/>
          <w:color w:val="000000" w:themeColor="text1"/>
          <w:sz w:val="24"/>
          <w:szCs w:val="24"/>
        </w:rPr>
        <w:t xml:space="preserve">En su programa de proyección Social, la ENA capacitó a </w:t>
      </w:r>
      <w:r w:rsidRPr="00C6130B">
        <w:rPr>
          <w:rFonts w:cstheme="minorHAnsi"/>
          <w:b/>
          <w:color w:val="000000" w:themeColor="text1"/>
          <w:sz w:val="24"/>
          <w:szCs w:val="24"/>
        </w:rPr>
        <w:t>2,230 productores</w:t>
      </w:r>
      <w:r w:rsidRPr="00C6130B">
        <w:rPr>
          <w:rFonts w:cstheme="minorHAnsi"/>
          <w:color w:val="000000" w:themeColor="text1"/>
          <w:sz w:val="24"/>
          <w:szCs w:val="24"/>
        </w:rPr>
        <w:t xml:space="preserve"> y</w:t>
      </w:r>
      <w:r w:rsidR="003F744F">
        <w:rPr>
          <w:rFonts w:cstheme="minorHAnsi"/>
          <w:color w:val="000000" w:themeColor="text1"/>
          <w:sz w:val="24"/>
          <w:szCs w:val="24"/>
        </w:rPr>
        <w:t xml:space="preserve"> </w:t>
      </w:r>
      <w:r w:rsidRPr="00C6130B">
        <w:rPr>
          <w:rFonts w:cstheme="minorHAnsi"/>
          <w:b/>
          <w:color w:val="000000" w:themeColor="text1"/>
          <w:sz w:val="24"/>
          <w:szCs w:val="24"/>
        </w:rPr>
        <w:t>770 productoras</w:t>
      </w:r>
      <w:r w:rsidRPr="00C6130B">
        <w:rPr>
          <w:rFonts w:cstheme="minorHAnsi"/>
          <w:color w:val="000000" w:themeColor="text1"/>
          <w:sz w:val="24"/>
          <w:szCs w:val="24"/>
        </w:rPr>
        <w:t xml:space="preserve"> a través de cursos de duración corta, en los siguientes temas:</w:t>
      </w:r>
    </w:p>
    <w:p w:rsidR="0049427A" w:rsidRPr="00C6130B" w:rsidRDefault="0049427A" w:rsidP="0049427A">
      <w:pPr>
        <w:pStyle w:val="Prrafodelista"/>
        <w:numPr>
          <w:ilvl w:val="0"/>
          <w:numId w:val="2"/>
        </w:numPr>
        <w:spacing w:before="240" w:after="240"/>
        <w:rPr>
          <w:rFonts w:cstheme="minorHAnsi"/>
          <w:color w:val="000000" w:themeColor="text1"/>
          <w:sz w:val="24"/>
          <w:szCs w:val="24"/>
        </w:rPr>
      </w:pPr>
      <w:r w:rsidRPr="00C6130B">
        <w:rPr>
          <w:rFonts w:cstheme="minorHAnsi"/>
          <w:color w:val="000000" w:themeColor="text1"/>
          <w:sz w:val="24"/>
          <w:szCs w:val="24"/>
        </w:rPr>
        <w:t xml:space="preserve">Crianza de aves de corral, </w:t>
      </w:r>
    </w:p>
    <w:p w:rsidR="0049427A" w:rsidRPr="00C6130B" w:rsidRDefault="0049427A" w:rsidP="0049427A">
      <w:pPr>
        <w:pStyle w:val="Prrafodelista"/>
        <w:numPr>
          <w:ilvl w:val="0"/>
          <w:numId w:val="2"/>
        </w:numPr>
        <w:spacing w:before="240" w:after="240"/>
        <w:rPr>
          <w:rFonts w:cstheme="minorHAnsi"/>
          <w:color w:val="000000" w:themeColor="text1"/>
          <w:sz w:val="24"/>
          <w:szCs w:val="24"/>
        </w:rPr>
      </w:pPr>
      <w:r w:rsidRPr="00C6130B">
        <w:rPr>
          <w:rFonts w:cstheme="minorHAnsi"/>
          <w:color w:val="000000" w:themeColor="text1"/>
          <w:sz w:val="24"/>
          <w:szCs w:val="24"/>
        </w:rPr>
        <w:t xml:space="preserve">Cultivo de maíz y frijol, </w:t>
      </w:r>
    </w:p>
    <w:p w:rsidR="0049427A" w:rsidRPr="00C6130B" w:rsidRDefault="0049427A" w:rsidP="0049427A">
      <w:pPr>
        <w:pStyle w:val="Prrafodelista"/>
        <w:numPr>
          <w:ilvl w:val="0"/>
          <w:numId w:val="2"/>
        </w:numPr>
        <w:spacing w:before="240" w:after="240"/>
        <w:rPr>
          <w:rFonts w:cstheme="minorHAnsi"/>
          <w:color w:val="000000" w:themeColor="text1"/>
          <w:sz w:val="24"/>
          <w:szCs w:val="24"/>
        </w:rPr>
      </w:pPr>
      <w:r w:rsidRPr="00C6130B">
        <w:rPr>
          <w:rFonts w:cstheme="minorHAnsi"/>
          <w:color w:val="000000" w:themeColor="text1"/>
          <w:sz w:val="24"/>
          <w:szCs w:val="24"/>
        </w:rPr>
        <w:t xml:space="preserve">Crianza de aves ponedora, </w:t>
      </w:r>
    </w:p>
    <w:p w:rsidR="0049427A" w:rsidRPr="00C6130B" w:rsidRDefault="0049427A" w:rsidP="0049427A">
      <w:pPr>
        <w:pStyle w:val="Prrafodelista"/>
        <w:numPr>
          <w:ilvl w:val="0"/>
          <w:numId w:val="2"/>
        </w:numPr>
        <w:spacing w:before="240" w:after="240"/>
        <w:rPr>
          <w:rFonts w:cstheme="minorHAnsi"/>
          <w:color w:val="000000" w:themeColor="text1"/>
          <w:sz w:val="24"/>
          <w:szCs w:val="24"/>
        </w:rPr>
      </w:pPr>
      <w:r w:rsidRPr="00C6130B">
        <w:rPr>
          <w:rFonts w:cstheme="minorHAnsi"/>
          <w:color w:val="000000" w:themeColor="text1"/>
          <w:sz w:val="24"/>
          <w:szCs w:val="24"/>
        </w:rPr>
        <w:t xml:space="preserve">Conservación de recursos naturales, </w:t>
      </w:r>
    </w:p>
    <w:p w:rsidR="0049427A" w:rsidRPr="00C6130B" w:rsidRDefault="0049427A" w:rsidP="0049427A">
      <w:pPr>
        <w:pStyle w:val="Prrafodelista"/>
        <w:numPr>
          <w:ilvl w:val="0"/>
          <w:numId w:val="2"/>
        </w:numPr>
        <w:spacing w:before="240" w:after="240"/>
        <w:rPr>
          <w:rFonts w:cstheme="minorHAnsi"/>
          <w:color w:val="000000" w:themeColor="text1"/>
          <w:sz w:val="24"/>
          <w:szCs w:val="24"/>
        </w:rPr>
      </w:pPr>
      <w:proofErr w:type="spellStart"/>
      <w:r w:rsidRPr="00C6130B">
        <w:rPr>
          <w:rFonts w:cstheme="minorHAnsi"/>
          <w:color w:val="000000" w:themeColor="text1"/>
          <w:sz w:val="24"/>
          <w:szCs w:val="24"/>
        </w:rPr>
        <w:t>Extensionismo</w:t>
      </w:r>
      <w:proofErr w:type="spellEnd"/>
      <w:r w:rsidRPr="00C6130B">
        <w:rPr>
          <w:rFonts w:cstheme="minorHAnsi"/>
          <w:color w:val="000000" w:themeColor="text1"/>
          <w:sz w:val="24"/>
          <w:szCs w:val="24"/>
        </w:rPr>
        <w:t xml:space="preserve"> agropecuario, </w:t>
      </w:r>
    </w:p>
    <w:p w:rsidR="0049427A" w:rsidRPr="00C6130B" w:rsidRDefault="0049427A" w:rsidP="0049427A">
      <w:pPr>
        <w:pStyle w:val="Prrafodelista"/>
        <w:numPr>
          <w:ilvl w:val="0"/>
          <w:numId w:val="2"/>
        </w:numPr>
        <w:spacing w:before="240" w:after="240"/>
        <w:rPr>
          <w:rFonts w:cstheme="minorHAnsi"/>
          <w:color w:val="000000" w:themeColor="text1"/>
          <w:sz w:val="24"/>
          <w:szCs w:val="24"/>
        </w:rPr>
      </w:pPr>
      <w:r w:rsidRPr="00C6130B">
        <w:rPr>
          <w:rFonts w:cstheme="minorHAnsi"/>
          <w:color w:val="000000" w:themeColor="text1"/>
          <w:sz w:val="24"/>
          <w:szCs w:val="24"/>
        </w:rPr>
        <w:t xml:space="preserve">Agricultura orgánica, </w:t>
      </w:r>
    </w:p>
    <w:p w:rsidR="0049427A" w:rsidRPr="00C6130B" w:rsidRDefault="0049427A" w:rsidP="0049427A">
      <w:pPr>
        <w:pStyle w:val="Prrafodelista"/>
        <w:numPr>
          <w:ilvl w:val="0"/>
          <w:numId w:val="2"/>
        </w:numPr>
        <w:spacing w:before="240" w:after="240"/>
        <w:rPr>
          <w:rFonts w:cstheme="minorHAnsi"/>
          <w:color w:val="000000" w:themeColor="text1"/>
          <w:sz w:val="24"/>
          <w:szCs w:val="24"/>
        </w:rPr>
      </w:pPr>
      <w:r w:rsidRPr="00C6130B">
        <w:rPr>
          <w:rFonts w:cstheme="minorHAnsi"/>
          <w:color w:val="000000" w:themeColor="text1"/>
          <w:sz w:val="24"/>
          <w:szCs w:val="24"/>
        </w:rPr>
        <w:t>Planes de negocio, entre otros</w:t>
      </w:r>
    </w:p>
    <w:p w:rsidR="0049427A" w:rsidRPr="00C6130B" w:rsidRDefault="0049427A" w:rsidP="0049427A">
      <w:pPr>
        <w:spacing w:before="240" w:after="240"/>
        <w:ind w:left="284"/>
        <w:rPr>
          <w:rFonts w:asciiTheme="minorHAnsi" w:hAnsiTheme="minorHAnsi" w:cstheme="minorHAnsi"/>
          <w:color w:val="000000" w:themeColor="text1"/>
        </w:rPr>
      </w:pPr>
      <w:r w:rsidRPr="00C6130B">
        <w:rPr>
          <w:rFonts w:asciiTheme="minorHAnsi" w:hAnsiTheme="minorHAnsi" w:cstheme="minorHAnsi"/>
          <w:color w:val="000000" w:themeColor="text1"/>
        </w:rPr>
        <w:t xml:space="preserve">Las personas capacitadas provenían de los municipios de Ciudad Arce, San Salvador, Cojutepeque, Colón, Santa Tecla, Santa Ana, La Libertad, Morazán, La Unión, Huizucar, Chalatenango, Atiquizaya, Antiguo Cuscatlán, Chiltiupán, Apastepeque, Apopa, Nahuizalco y San Juan Opico, y otros. </w:t>
      </w:r>
    </w:p>
    <w:p w:rsidR="0049427A" w:rsidRPr="00C6130B" w:rsidRDefault="0049427A" w:rsidP="0049427A">
      <w:pPr>
        <w:spacing w:before="240" w:after="240"/>
        <w:ind w:left="284"/>
        <w:rPr>
          <w:rFonts w:asciiTheme="minorHAnsi" w:hAnsiTheme="minorHAnsi" w:cstheme="minorHAnsi"/>
          <w:color w:val="000000" w:themeColor="text1"/>
        </w:rPr>
      </w:pPr>
    </w:p>
    <w:p w:rsidR="0049427A" w:rsidRPr="00C6130B" w:rsidRDefault="0049427A" w:rsidP="0049427A">
      <w:pPr>
        <w:spacing w:before="240" w:after="240"/>
        <w:ind w:left="284"/>
        <w:rPr>
          <w:rFonts w:asciiTheme="minorHAnsi" w:hAnsiTheme="minorHAnsi" w:cstheme="minorHAnsi"/>
          <w:color w:val="000000" w:themeColor="text1"/>
        </w:rPr>
      </w:pPr>
    </w:p>
    <w:p w:rsidR="0049427A" w:rsidRPr="00C6130B" w:rsidRDefault="0049427A" w:rsidP="0049427A">
      <w:pPr>
        <w:spacing w:before="240" w:after="240"/>
        <w:rPr>
          <w:rFonts w:asciiTheme="minorHAnsi" w:hAnsiTheme="minorHAnsi" w:cstheme="minorHAnsi"/>
          <w:b/>
          <w:color w:val="000000" w:themeColor="text1"/>
        </w:rPr>
      </w:pPr>
      <w:r w:rsidRPr="00C6130B">
        <w:rPr>
          <w:rFonts w:asciiTheme="minorHAnsi" w:hAnsiTheme="minorHAnsi" w:cstheme="minorHAnsi"/>
          <w:b/>
          <w:color w:val="000000" w:themeColor="text1"/>
        </w:rPr>
        <w:t>Filial de la ENA en Región Oriental</w:t>
      </w:r>
    </w:p>
    <w:p w:rsidR="0049427A" w:rsidRPr="00C6130B" w:rsidRDefault="0049427A" w:rsidP="0049427A">
      <w:pPr>
        <w:pStyle w:val="Prrafodelista"/>
        <w:numPr>
          <w:ilvl w:val="0"/>
          <w:numId w:val="1"/>
        </w:numPr>
        <w:spacing w:before="240" w:after="240" w:line="240" w:lineRule="auto"/>
        <w:contextualSpacing w:val="0"/>
        <w:jc w:val="both"/>
        <w:rPr>
          <w:rFonts w:cstheme="minorHAnsi"/>
          <w:color w:val="000000" w:themeColor="text1"/>
          <w:sz w:val="24"/>
          <w:szCs w:val="24"/>
        </w:rPr>
      </w:pPr>
      <w:r w:rsidRPr="00C6130B">
        <w:rPr>
          <w:rFonts w:cstheme="minorHAnsi"/>
          <w:color w:val="000000" w:themeColor="text1"/>
          <w:sz w:val="24"/>
          <w:szCs w:val="24"/>
        </w:rPr>
        <w:t xml:space="preserve">Se está realizando un estudio de factibilidad para el establecimiento de un Centro Regional de la ENA en el Departamento de Morazán, con el objetivo modernizar y desconcentrar los servicios de la Escuela Nacional de Agricultura “Roberto Quiñónez”, y formar profesionales especializados con enfoque agroecológico, que puedan hacer frente a los desafíos que plantean la variación climática y el cambio climático, atendiendo las necesidades propias del Corredor Seco Centroamericano. </w:t>
      </w:r>
    </w:p>
    <w:p w:rsidR="0049427A" w:rsidRPr="00C6130B" w:rsidRDefault="0049427A" w:rsidP="0049427A">
      <w:pPr>
        <w:spacing w:before="240" w:after="240"/>
        <w:rPr>
          <w:rFonts w:asciiTheme="minorHAnsi" w:hAnsiTheme="minorHAnsi" w:cstheme="minorHAnsi"/>
          <w:b/>
          <w:color w:val="000000" w:themeColor="text1"/>
        </w:rPr>
      </w:pPr>
      <w:r w:rsidRPr="00C6130B">
        <w:rPr>
          <w:rFonts w:asciiTheme="minorHAnsi" w:hAnsiTheme="minorHAnsi" w:cstheme="minorHAnsi"/>
          <w:b/>
          <w:color w:val="000000" w:themeColor="text1"/>
        </w:rPr>
        <w:t>Restauración de infraestructura</w:t>
      </w:r>
    </w:p>
    <w:p w:rsidR="0049427A" w:rsidRPr="00C6130B" w:rsidRDefault="0049427A" w:rsidP="0049427A">
      <w:pPr>
        <w:pStyle w:val="Prrafodelista"/>
        <w:spacing w:before="240" w:after="240"/>
        <w:ind w:left="284"/>
        <w:rPr>
          <w:rFonts w:cstheme="minorHAnsi"/>
          <w:color w:val="000000" w:themeColor="text1"/>
          <w:sz w:val="24"/>
          <w:szCs w:val="24"/>
        </w:rPr>
      </w:pPr>
      <w:r w:rsidRPr="00C6130B">
        <w:rPr>
          <w:rFonts w:cstheme="minorHAnsi"/>
          <w:color w:val="000000" w:themeColor="text1"/>
          <w:sz w:val="24"/>
          <w:szCs w:val="24"/>
        </w:rPr>
        <w:t>Se inició la restauración y mejoramiento del Auditorio Los Próceres de la Escuela Nacional de Agricultura, lo cual permitirá:</w:t>
      </w:r>
    </w:p>
    <w:p w:rsidR="0049427A" w:rsidRPr="00C6130B" w:rsidRDefault="0049427A" w:rsidP="0049427A">
      <w:pPr>
        <w:pStyle w:val="Prrafodelista"/>
        <w:numPr>
          <w:ilvl w:val="1"/>
          <w:numId w:val="1"/>
        </w:numPr>
        <w:spacing w:after="0" w:line="240" w:lineRule="auto"/>
        <w:ind w:left="1434" w:hanging="357"/>
        <w:contextualSpacing w:val="0"/>
        <w:jc w:val="both"/>
        <w:rPr>
          <w:rFonts w:cstheme="minorHAnsi"/>
          <w:color w:val="000000" w:themeColor="text1"/>
          <w:sz w:val="24"/>
          <w:szCs w:val="24"/>
        </w:rPr>
      </w:pPr>
      <w:r w:rsidRPr="00C6130B">
        <w:rPr>
          <w:rFonts w:cstheme="minorHAnsi"/>
          <w:color w:val="000000" w:themeColor="text1"/>
          <w:sz w:val="24"/>
          <w:szCs w:val="24"/>
        </w:rPr>
        <w:t>Restaurar y conservar el patrimonio nacional,</w:t>
      </w:r>
    </w:p>
    <w:p w:rsidR="0049427A" w:rsidRPr="00C6130B" w:rsidRDefault="0049427A" w:rsidP="0049427A">
      <w:pPr>
        <w:pStyle w:val="Prrafodelista"/>
        <w:numPr>
          <w:ilvl w:val="1"/>
          <w:numId w:val="1"/>
        </w:numPr>
        <w:spacing w:after="0" w:line="240" w:lineRule="auto"/>
        <w:ind w:left="1434" w:hanging="357"/>
        <w:contextualSpacing w:val="0"/>
        <w:jc w:val="both"/>
        <w:rPr>
          <w:rFonts w:cstheme="minorHAnsi"/>
          <w:color w:val="000000" w:themeColor="text1"/>
          <w:sz w:val="24"/>
          <w:szCs w:val="24"/>
        </w:rPr>
      </w:pPr>
      <w:r w:rsidRPr="00C6130B">
        <w:rPr>
          <w:rFonts w:cstheme="minorHAnsi"/>
          <w:color w:val="000000" w:themeColor="text1"/>
          <w:sz w:val="24"/>
          <w:szCs w:val="24"/>
        </w:rPr>
        <w:t xml:space="preserve">Contar con un auditorio de usos múltiples (comedor de estudiantes, auditorio para eventos protocolarios como graduaciones, audiencias de rendición de cuentas, reuniones de padres de familia, día de campo entre otros). </w:t>
      </w:r>
    </w:p>
    <w:p w:rsidR="0049427A" w:rsidRPr="00C6130B" w:rsidRDefault="0049427A" w:rsidP="0049427A">
      <w:pPr>
        <w:pStyle w:val="Prrafodelista"/>
        <w:numPr>
          <w:ilvl w:val="1"/>
          <w:numId w:val="1"/>
        </w:numPr>
        <w:spacing w:after="0" w:line="240" w:lineRule="auto"/>
        <w:ind w:left="1434" w:hanging="357"/>
        <w:contextualSpacing w:val="0"/>
        <w:jc w:val="both"/>
        <w:rPr>
          <w:rFonts w:cstheme="minorHAnsi"/>
          <w:color w:val="000000" w:themeColor="text1"/>
          <w:sz w:val="24"/>
          <w:szCs w:val="24"/>
        </w:rPr>
      </w:pPr>
      <w:r w:rsidRPr="00C6130B">
        <w:rPr>
          <w:rFonts w:cstheme="minorHAnsi"/>
          <w:color w:val="000000" w:themeColor="text1"/>
          <w:sz w:val="24"/>
          <w:szCs w:val="24"/>
        </w:rPr>
        <w:t>Contar con la infraestructura apropiada para los servicios que se le proporciona a la población estudiantil bajo la modalidad de internado.</w:t>
      </w:r>
    </w:p>
    <w:p w:rsidR="00801085" w:rsidRPr="00C6130B" w:rsidRDefault="00801085">
      <w:pPr>
        <w:rPr>
          <w:color w:val="000000" w:themeColor="text1"/>
        </w:rPr>
      </w:pPr>
    </w:p>
    <w:sectPr w:rsidR="00801085" w:rsidRPr="00C613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92718"/>
    <w:multiLevelType w:val="hybridMultilevel"/>
    <w:tmpl w:val="9A60D0F0"/>
    <w:lvl w:ilvl="0" w:tplc="440A000D">
      <w:start w:val="1"/>
      <w:numFmt w:val="bullet"/>
      <w:lvlText w:val=""/>
      <w:lvlJc w:val="left"/>
      <w:pPr>
        <w:ind w:left="36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42921BBC"/>
    <w:multiLevelType w:val="hybridMultilevel"/>
    <w:tmpl w:val="572EF82E"/>
    <w:lvl w:ilvl="0" w:tplc="440A0003">
      <w:start w:val="1"/>
      <w:numFmt w:val="bullet"/>
      <w:lvlText w:val="o"/>
      <w:lvlJc w:val="left"/>
      <w:pPr>
        <w:ind w:left="1428" w:hanging="360"/>
      </w:pPr>
      <w:rPr>
        <w:rFonts w:ascii="Courier New" w:hAnsi="Courier New" w:cs="Courier New"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7A"/>
    <w:rsid w:val="000D52CD"/>
    <w:rsid w:val="003F744F"/>
    <w:rsid w:val="0049427A"/>
    <w:rsid w:val="00801085"/>
    <w:rsid w:val="00C6130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D020A-EF85-4F6B-A4E0-CD7E63B7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27A"/>
    <w:pPr>
      <w:spacing w:before="120" w:after="0" w:line="240" w:lineRule="auto"/>
      <w:jc w:val="both"/>
    </w:pPr>
    <w:rPr>
      <w:rFonts w:ascii="Arial" w:hAnsi="Arial" w:cs="Arial"/>
      <w:sz w:val="24"/>
      <w:szCs w:val="24"/>
    </w:rPr>
  </w:style>
  <w:style w:type="paragraph" w:styleId="Ttulo3">
    <w:name w:val="heading 3"/>
    <w:basedOn w:val="Normal"/>
    <w:next w:val="Normal"/>
    <w:link w:val="Ttulo3Car"/>
    <w:uiPriority w:val="9"/>
    <w:unhideWhenUsed/>
    <w:qFormat/>
    <w:rsid w:val="0049427A"/>
    <w:pPr>
      <w:keepNext/>
      <w:keepLines/>
      <w:spacing w:before="200"/>
      <w:outlineLvl w:val="2"/>
    </w:pPr>
    <w:rPr>
      <w:rFonts w:asciiTheme="majorHAnsi" w:eastAsiaTheme="majorEastAsia" w:hAnsiTheme="majorHAnsi" w:cstheme="majorBidi"/>
      <w:b/>
      <w:b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9427A"/>
    <w:rPr>
      <w:rFonts w:asciiTheme="majorHAnsi" w:eastAsiaTheme="majorEastAsia" w:hAnsiTheme="majorHAnsi" w:cstheme="majorBidi"/>
      <w:b/>
      <w:bCs/>
      <w:color w:val="2E74B5" w:themeColor="accent1" w:themeShade="BF"/>
      <w:sz w:val="24"/>
      <w:szCs w:val="24"/>
    </w:rPr>
  </w:style>
  <w:style w:type="paragraph" w:styleId="Prrafodelista">
    <w:name w:val="List Paragraph"/>
    <w:basedOn w:val="Normal"/>
    <w:link w:val="PrrafodelistaCar"/>
    <w:uiPriority w:val="34"/>
    <w:qFormat/>
    <w:rsid w:val="0049427A"/>
    <w:pPr>
      <w:spacing w:before="0" w:after="200" w:line="276" w:lineRule="auto"/>
      <w:ind w:left="720"/>
      <w:contextualSpacing/>
      <w:jc w:val="left"/>
    </w:pPr>
    <w:rPr>
      <w:rFonts w:asciiTheme="minorHAnsi" w:eastAsiaTheme="minorEastAsia" w:hAnsiTheme="minorHAnsi" w:cstheme="minorBidi"/>
      <w:sz w:val="22"/>
      <w:szCs w:val="22"/>
      <w:lang w:eastAsia="es-SV"/>
    </w:rPr>
  </w:style>
  <w:style w:type="character" w:customStyle="1" w:styleId="PrrafodelistaCar">
    <w:name w:val="Párrafo de lista Car"/>
    <w:link w:val="Prrafodelista"/>
    <w:uiPriority w:val="34"/>
    <w:locked/>
    <w:rsid w:val="0049427A"/>
    <w:rPr>
      <w:rFonts w:eastAsiaTheme="minorEastAsia"/>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Amilcar Landaverde</dc:creator>
  <cp:keywords/>
  <dc:description/>
  <cp:lastModifiedBy>KObispo_UAIP</cp:lastModifiedBy>
  <cp:revision>2</cp:revision>
  <dcterms:created xsi:type="dcterms:W3CDTF">2017-05-04T15:39:00Z</dcterms:created>
  <dcterms:modified xsi:type="dcterms:W3CDTF">2017-05-04T15:39:00Z</dcterms:modified>
</cp:coreProperties>
</file>