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55C" w14:textId="77777777" w:rsidR="00F40DE0" w:rsidRDefault="00F40DE0" w:rsidP="00F40DE0">
      <w:pPr>
        <w:spacing w:line="360" w:lineRule="auto"/>
        <w:jc w:val="both"/>
        <w:rPr>
          <w:lang w:val="es-SV"/>
        </w:rPr>
      </w:pPr>
      <w:r>
        <w:rPr>
          <w:b/>
          <w:bCs/>
          <w:lang w:val="es-SV"/>
        </w:rPr>
        <w:t>ACTA No. CV-34/2022</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miércoles 28 de septiembre del año 2022. Se realizó la reunión de los señores Miembros del Consejo de Vigilancia a la cual asistieron de manera virtual vía </w:t>
      </w:r>
      <w:proofErr w:type="spellStart"/>
      <w:r>
        <w:rPr>
          <w:lang w:val="es-SV"/>
        </w:rPr>
        <w:t>teams</w:t>
      </w:r>
      <w:proofErr w:type="spellEnd"/>
      <w:r>
        <w:rPr>
          <w:lang w:val="es-SV"/>
        </w:rPr>
        <w:t xml:space="preserve">: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CV-33/2022. </w:t>
      </w:r>
      <w:r>
        <w:rPr>
          <w:b/>
          <w:lang w:val="es-SV"/>
        </w:rPr>
        <w:t xml:space="preserve">III.  </w:t>
      </w:r>
      <w:r>
        <w:rPr>
          <w:lang w:val="es-SV"/>
        </w:rPr>
        <w:t>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JD-147/2022 del 18 de agosto del año 2022.  </w:t>
      </w:r>
      <w:r>
        <w:rPr>
          <w:b/>
          <w:bCs/>
          <w:lang w:val="es-SV"/>
        </w:rPr>
        <w:t xml:space="preserve">IV.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JD-148/2022 del 19 de agosto del año 2022.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JD-149/2022 del 22 de agosto del año 2022.  </w:t>
      </w:r>
      <w:r>
        <w:rPr>
          <w:b/>
          <w:lang w:val="es-SV"/>
        </w:rPr>
        <w:t>VI.</w:t>
      </w:r>
      <w:r>
        <w:rPr>
          <w:bCs/>
          <w:lang w:val="es-SV"/>
        </w:rPr>
        <w:t xml:space="preserve"> </w:t>
      </w:r>
      <w:r>
        <w:rPr>
          <w:b/>
          <w:bCs/>
          <w:lang w:val="es-SV"/>
        </w:rPr>
        <w:t xml:space="preserve">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JD-150/2022 del 23 de agosto del año 2022. </w:t>
      </w:r>
      <w:r>
        <w:rPr>
          <w:b/>
          <w:bCs/>
          <w:lang w:val="es-SV"/>
        </w:rPr>
        <w:t xml:space="preserve">VII.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JD-151/2022 del 24 de agosto del año 2022.  </w:t>
      </w:r>
      <w:r>
        <w:rPr>
          <w:b/>
          <w:lang w:val="es-SV"/>
        </w:rPr>
        <w:t>VIII.</w:t>
      </w:r>
      <w:r>
        <w:rPr>
          <w:bCs/>
          <w:lang w:val="es-SV"/>
        </w:rPr>
        <w:t xml:space="preserve"> Gestión y Respuesta sobre Solicitudes Enviadas a la Administración.  </w:t>
      </w:r>
      <w:r>
        <w:rPr>
          <w:b/>
          <w:lang w:val="es-SV"/>
        </w:rPr>
        <w:t>IX.</w:t>
      </w:r>
      <w:r>
        <w:rPr>
          <w:bCs/>
          <w:lang w:val="es-SV"/>
        </w:rPr>
        <w:t xml:space="preserve"> </w:t>
      </w:r>
      <w:r>
        <w:rPr>
          <w:lang w:val="es-SV"/>
        </w:rPr>
        <w:t>Acuerdos de Resolución sobre Información Reservada de esta Sesión</w:t>
      </w:r>
      <w:r>
        <w:rPr>
          <w:b/>
          <w:lang w:val="es-SV"/>
        </w:rPr>
        <w:t xml:space="preserve">. </w:t>
      </w:r>
      <w:r>
        <w:rPr>
          <w:b/>
          <w:bCs/>
          <w:lang w:val="es-SV"/>
        </w:rPr>
        <w:t>X.</w:t>
      </w:r>
      <w:r>
        <w:rPr>
          <w:lang w:val="es-SV"/>
        </w:rPr>
        <w:t xml:space="preserve"> Correspondencia Recibida. </w:t>
      </w:r>
      <w:r>
        <w:rPr>
          <w:b/>
          <w:bCs/>
          <w:lang w:val="es-SV"/>
        </w:rPr>
        <w:t>XI.</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CV-33/2022, de fecha 22 de septiembre del año 2022, la cual fue aprobada.  </w:t>
      </w:r>
      <w:r>
        <w:rPr>
          <w:b/>
          <w:lang w:val="es-SV"/>
        </w:rPr>
        <w:t xml:space="preserve">III. ANÁLISIS </w:t>
      </w:r>
      <w:r>
        <w:rPr>
          <w:b/>
          <w:bCs/>
          <w:lang w:val="es-SV"/>
        </w:rPr>
        <w:t xml:space="preserve">ACTA DE SESIÓN ORDINARIA DE JUNTA DIRECTIVA </w:t>
      </w:r>
      <w:proofErr w:type="spellStart"/>
      <w:r>
        <w:rPr>
          <w:b/>
          <w:bCs/>
          <w:lang w:val="es-SV"/>
        </w:rPr>
        <w:t>Nº</w:t>
      </w:r>
      <w:proofErr w:type="spellEnd"/>
      <w:r>
        <w:rPr>
          <w:b/>
          <w:bCs/>
          <w:lang w:val="es-SV"/>
        </w:rPr>
        <w:t xml:space="preserve"> JD-147/2022 DEL 18 DE AGOSTO DEL AÑO 2022.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color w:val="000000"/>
          <w:lang w:val="es-SV"/>
        </w:rPr>
        <w:t xml:space="preserve">Resolución de Créditos; </w:t>
      </w:r>
      <w:r>
        <w:rPr>
          <w:b/>
          <w:bCs/>
          <w:color w:val="000000"/>
          <w:lang w:val="es-SV"/>
        </w:rPr>
        <w:t xml:space="preserve">IV. </w:t>
      </w:r>
      <w:r>
        <w:rPr>
          <w:color w:val="000000"/>
          <w:lang w:val="es-SV"/>
        </w:rPr>
        <w:t xml:space="preserve">Informe Trimestral de Avaluación Técnica de la Gestión Integral de Riesgos, Cifras al 30 de </w:t>
      </w:r>
      <w:proofErr w:type="gramStart"/>
      <w:r>
        <w:rPr>
          <w:color w:val="000000"/>
          <w:lang w:val="es-SV"/>
        </w:rPr>
        <w:t>Junio</w:t>
      </w:r>
      <w:proofErr w:type="gramEnd"/>
      <w:r>
        <w:rPr>
          <w:color w:val="000000"/>
          <w:lang w:val="es-SV"/>
        </w:rPr>
        <w:t xml:space="preserve"> 2022; </w:t>
      </w:r>
      <w:r>
        <w:rPr>
          <w:b/>
          <w:color w:val="000000"/>
          <w:lang w:val="es-SV"/>
        </w:rPr>
        <w:t>V</w:t>
      </w:r>
      <w:r>
        <w:rPr>
          <w:color w:val="000000"/>
          <w:lang w:val="es-SV"/>
        </w:rPr>
        <w:t xml:space="preserve">. Informe de Resultados Finales de la Visita de Supervisión de la SSF Según Circular No. SAIEF-IE-19693 y Presentación del Plan de Acción para Atender Observación; </w:t>
      </w:r>
      <w:r>
        <w:rPr>
          <w:b/>
          <w:bCs/>
          <w:color w:val="000000"/>
          <w:lang w:val="es-SV"/>
        </w:rPr>
        <w:t>VI.</w:t>
      </w:r>
      <w:r>
        <w:rPr>
          <w:color w:val="000000"/>
          <w:lang w:val="es-SV"/>
        </w:rPr>
        <w:t xml:space="preserve">  Sentencia Pronunciada por la Sala Contencioso Administrativa en Proceso </w:t>
      </w:r>
      <w:r>
        <w:rPr>
          <w:color w:val="000000"/>
          <w:lang w:val="es-SV"/>
        </w:rPr>
        <w:lastRenderedPageBreak/>
        <w:t xml:space="preserve">Ref. 511-2013 Promovido por el Lic. Jorge Adalberto Salazar Grande Contra la Junta Directiva del FSV; </w:t>
      </w:r>
      <w:r>
        <w:rPr>
          <w:b/>
          <w:color w:val="000000"/>
          <w:lang w:val="es-SV"/>
        </w:rPr>
        <w:t>VII.</w:t>
      </w:r>
      <w:r>
        <w:rPr>
          <w:color w:val="000000"/>
          <w:lang w:val="es-SV"/>
        </w:rPr>
        <w:t xml:space="preserve"> </w:t>
      </w:r>
      <w:r>
        <w:rPr>
          <w:b/>
          <w:color w:val="000000"/>
          <w:lang w:val="es-SV"/>
        </w:rPr>
        <w:t xml:space="preserve"> </w:t>
      </w:r>
      <w:r>
        <w:rPr>
          <w:bCs/>
          <w:color w:val="000000"/>
          <w:lang w:val="es-SV"/>
        </w:rPr>
        <w:t xml:space="preserve">Aprobación de Préstamos Personales; </w:t>
      </w:r>
      <w:r>
        <w:rPr>
          <w:b/>
          <w:color w:val="000000"/>
          <w:lang w:val="es-SV"/>
        </w:rPr>
        <w:t>VIII.</w:t>
      </w:r>
      <w:r>
        <w:rPr>
          <w:bCs/>
          <w:color w:val="000000"/>
          <w:lang w:val="es-SV"/>
        </w:rPr>
        <w:t xml:space="preserve"> Nombramiento de </w:t>
      </w:r>
      <w:proofErr w:type="gramStart"/>
      <w:r>
        <w:rPr>
          <w:bCs/>
          <w:color w:val="000000"/>
          <w:lang w:val="es-SV"/>
        </w:rPr>
        <w:t>Jefe</w:t>
      </w:r>
      <w:proofErr w:type="gramEnd"/>
      <w:r>
        <w:rPr>
          <w:bCs/>
          <w:color w:val="000000"/>
          <w:lang w:val="es-SV"/>
        </w:rPr>
        <w:t xml:space="preserve"> Agencia San Miguel; </w:t>
      </w:r>
      <w:r>
        <w:rPr>
          <w:b/>
          <w:color w:val="000000"/>
          <w:lang w:val="es-SV"/>
        </w:rPr>
        <w:t>IX.</w:t>
      </w:r>
      <w:r>
        <w:rPr>
          <w:bCs/>
          <w:color w:val="000000"/>
          <w:lang w:val="es-SV"/>
        </w:rPr>
        <w:t xml:space="preserve"> Acuerdo de Resolución sobre Información Reservada de esta Sesión</w:t>
      </w:r>
      <w:r>
        <w:rPr>
          <w:b/>
          <w:color w:val="000000"/>
          <w:lang w:val="es-SV"/>
        </w:rPr>
        <w:t>.</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para Vivienda. Después de haber leído y analizado el contenido del acta, este Consejo se da</w:t>
      </w:r>
      <w:r>
        <w:rPr>
          <w:bCs/>
          <w:lang w:val="es-SV"/>
        </w:rPr>
        <w:t xml:space="preserve"> por recibido e informado </w:t>
      </w:r>
      <w:r>
        <w:rPr>
          <w:b/>
          <w:lang w:val="es-SV"/>
        </w:rPr>
        <w:t xml:space="preserve">de 23 </w:t>
      </w:r>
      <w:r>
        <w:rPr>
          <w:rFonts w:eastAsia="Arial"/>
          <w:b/>
        </w:rPr>
        <w:t>solicitudes de crédito por un monto de $547,418.61</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bCs/>
          <w:color w:val="000000"/>
          <w:lang w:val="es-SV"/>
        </w:rPr>
        <w:t xml:space="preserve">Informe Trimestral de Evaluación Técnica de la Gestión Integral de Riesgos, Cifras al 30 de </w:t>
      </w:r>
      <w:proofErr w:type="gramStart"/>
      <w:r>
        <w:rPr>
          <w:bCs/>
          <w:color w:val="000000"/>
          <w:lang w:val="es-SV"/>
        </w:rPr>
        <w:t>Junio</w:t>
      </w:r>
      <w:proofErr w:type="gramEnd"/>
      <w:r>
        <w:rPr>
          <w:bCs/>
          <w:color w:val="000000"/>
          <w:lang w:val="es-SV"/>
        </w:rPr>
        <w:t xml:space="preserve"> 2022, </w:t>
      </w:r>
      <w:r>
        <w:rPr>
          <w:b/>
          <w:color w:val="000000"/>
          <w:lang w:val="es-SV"/>
        </w:rPr>
        <w:t xml:space="preserve">EL CONSEJO SE DA POR ENTERADO.  </w:t>
      </w:r>
      <w:r>
        <w:rPr>
          <w:b/>
          <w:bCs/>
          <w:lang w:val="es-SV"/>
        </w:rPr>
        <w:t xml:space="preserve">Punto </w:t>
      </w:r>
      <w:r>
        <w:rPr>
          <w:b/>
          <w:color w:val="000000"/>
          <w:lang w:val="es-SV"/>
        </w:rPr>
        <w:t>V.</w:t>
      </w:r>
      <w:r>
        <w:rPr>
          <w:bCs/>
          <w:color w:val="000000"/>
          <w:lang w:val="es-SV"/>
        </w:rPr>
        <w:t xml:space="preserve"> </w:t>
      </w:r>
      <w:r>
        <w:rPr>
          <w:b/>
          <w:color w:val="000000"/>
          <w:lang w:val="es-SV"/>
        </w:rPr>
        <w:t xml:space="preserve"> </w:t>
      </w:r>
      <w:r>
        <w:rPr>
          <w:bCs/>
          <w:color w:val="000000"/>
          <w:lang w:val="es-SV"/>
        </w:rPr>
        <w:t>Informe de Resultados Finales de la Visita de Supervisión de la SSF Según Circular No. SAIEF-IE-19693 y Representación del Plan de Acción para Atender Observación,</w:t>
      </w:r>
      <w:r>
        <w:rPr>
          <w:b/>
          <w:color w:val="000000"/>
          <w:lang w:val="es-SV"/>
        </w:rPr>
        <w:t xml:space="preserve"> EL CONSEJO SE DA POR ENTERADO. </w:t>
      </w:r>
      <w:r>
        <w:rPr>
          <w:color w:val="000000"/>
          <w:lang w:val="es-SV"/>
        </w:rPr>
        <w:t xml:space="preserve"> </w:t>
      </w:r>
      <w:r>
        <w:rPr>
          <w:b/>
          <w:color w:val="000000"/>
          <w:lang w:val="es-SV"/>
        </w:rPr>
        <w:t>Punto VI</w:t>
      </w:r>
      <w:r>
        <w:rPr>
          <w:bCs/>
          <w:color w:val="000000"/>
          <w:lang w:val="es-SV"/>
        </w:rPr>
        <w:t xml:space="preserve">.  Sentencia Pronunciada por la Sala Contencioso Administrativa en Proceso Ref. 511-2013 Promovido por el Lic. Jorge Adalberto Salazar Grande Contra la Junta Directiva del FSV, en el análisis de este punto, </w:t>
      </w:r>
      <w:r>
        <w:rPr>
          <w:b/>
          <w:color w:val="000000"/>
          <w:lang w:val="es-SV"/>
        </w:rPr>
        <w:t xml:space="preserve">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considera que la sentencia le da facultad para que el demandante pueda reclamar acciones contra el FSV, también porque no se corrigió en tiempo el error tomado por el analista financiero, por su parte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menciona que no fue el analista financiero quien realizó la recomendación sino una Comisión Evaluadora de Ofertas que es el procedimiento según LACAP,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agrega que le preocupa mucho dicha sentencia porque afecta a la institución, el FSV debe realizar un amparo constitucional, Licenciado Jesús Amado Campos Sánchez, menciona que dicho acto fue emitido en el año 2013, el </w:t>
      </w:r>
      <w:proofErr w:type="spellStart"/>
      <w:r>
        <w:rPr>
          <w:b/>
          <w:color w:val="000000"/>
          <w:lang w:val="es-SV"/>
        </w:rPr>
        <w:t>Consejal</w:t>
      </w:r>
      <w:proofErr w:type="spellEnd"/>
      <w:r>
        <w:rPr>
          <w:b/>
          <w:color w:val="000000"/>
          <w:lang w:val="es-SV"/>
        </w:rPr>
        <w:t xml:space="preserve"> Raúl Alfonso </w:t>
      </w:r>
      <w:proofErr w:type="spellStart"/>
      <w:r>
        <w:rPr>
          <w:b/>
          <w:color w:val="000000"/>
          <w:lang w:val="es-SV"/>
        </w:rPr>
        <w:t>Rogel</w:t>
      </w:r>
      <w:proofErr w:type="spellEnd"/>
      <w:r>
        <w:rPr>
          <w:b/>
          <w:color w:val="000000"/>
          <w:lang w:val="es-SV"/>
        </w:rPr>
        <w:t xml:space="preserve"> Peña, agrega que la Sala de lo Contencioso dice que deja abierto para que el demandante pueda ejercer una acción civil, la posición del sector laboral es que Gerencia Legal informe a este Consejo las acciones que seguirán efectuando, ya que le preocupa dicha sentencia, la Licenciada </w:t>
      </w:r>
      <w:proofErr w:type="spellStart"/>
      <w:r>
        <w:rPr>
          <w:b/>
          <w:color w:val="000000"/>
          <w:lang w:val="es-SV"/>
        </w:rPr>
        <w:t>Yasmine</w:t>
      </w:r>
      <w:proofErr w:type="spellEnd"/>
      <w:r>
        <w:rPr>
          <w:b/>
          <w:color w:val="000000"/>
          <w:lang w:val="es-SV"/>
        </w:rPr>
        <w:t xml:space="preserve"> </w:t>
      </w:r>
      <w:proofErr w:type="spellStart"/>
      <w:r>
        <w:rPr>
          <w:b/>
          <w:color w:val="000000"/>
          <w:lang w:val="es-SV"/>
        </w:rPr>
        <w:t>Roxveni</w:t>
      </w:r>
      <w:proofErr w:type="spellEnd"/>
      <w:r>
        <w:rPr>
          <w:b/>
          <w:color w:val="000000"/>
          <w:lang w:val="es-SV"/>
        </w:rPr>
        <w:t xml:space="preserve"> Calderón considera que emitir una opinión atinente se tuviera que revisar todo el procedimiento administrativo y el proceso judicial, pero considera que está fuera de las competencias del Consejo de Vigilancia, EL CONSEJO SE DA POR ENTERADO Y RECOMIENDA A LA ADMINISTRACIÓN DEDUCIR </w:t>
      </w:r>
      <w:r>
        <w:rPr>
          <w:b/>
          <w:color w:val="000000"/>
          <w:lang w:val="es-SV"/>
        </w:rPr>
        <w:lastRenderedPageBreak/>
        <w:t xml:space="preserve">RESPONSABILIDADES, SI LAS HUBIESE. </w:t>
      </w:r>
      <w:r>
        <w:rPr>
          <w:color w:val="000000"/>
          <w:lang w:val="es-SV"/>
        </w:rPr>
        <w:t xml:space="preserve"> </w:t>
      </w:r>
      <w:r>
        <w:rPr>
          <w:b/>
          <w:color w:val="000000"/>
          <w:lang w:val="es-SV"/>
        </w:rPr>
        <w:t>VII.</w:t>
      </w:r>
      <w:r>
        <w:rPr>
          <w:color w:val="000000"/>
          <w:lang w:val="es-SV"/>
        </w:rPr>
        <w:t xml:space="preserve">  Aprobación de Préstamos Personales, </w:t>
      </w:r>
      <w:r>
        <w:rPr>
          <w:b/>
          <w:color w:val="000000"/>
          <w:lang w:val="es-SV"/>
        </w:rPr>
        <w:t>EL CONSEJO SE DA POR ENTERADO.</w:t>
      </w:r>
      <w:r>
        <w:rPr>
          <w:color w:val="000000"/>
          <w:lang w:val="es-SV"/>
        </w:rPr>
        <w:t xml:space="preserve"> </w:t>
      </w:r>
      <w:r>
        <w:rPr>
          <w:b/>
          <w:color w:val="000000"/>
          <w:lang w:val="es-SV"/>
        </w:rPr>
        <w:t>VIII.</w:t>
      </w:r>
      <w:r>
        <w:rPr>
          <w:color w:val="000000"/>
          <w:lang w:val="es-SV"/>
        </w:rPr>
        <w:t xml:space="preserve">  Nombramiento de </w:t>
      </w:r>
      <w:proofErr w:type="gramStart"/>
      <w:r>
        <w:rPr>
          <w:color w:val="000000"/>
          <w:lang w:val="es-SV"/>
        </w:rPr>
        <w:t>Jefe</w:t>
      </w:r>
      <w:proofErr w:type="gramEnd"/>
      <w:r>
        <w:rPr>
          <w:color w:val="000000"/>
          <w:lang w:val="es-SV"/>
        </w:rPr>
        <w:t xml:space="preserve"> Agencia San Miguel, </w:t>
      </w:r>
      <w:r>
        <w:rPr>
          <w:b/>
          <w:bCs/>
          <w:color w:val="000000"/>
          <w:lang w:val="es-SV"/>
        </w:rPr>
        <w:t>EL CONSEJO SE DA POR ENTERADO. IX.</w:t>
      </w:r>
      <w:r>
        <w:rPr>
          <w:color w:val="000000"/>
          <w:lang w:val="es-SV"/>
        </w:rPr>
        <w:t xml:space="preserve"> </w:t>
      </w:r>
      <w:r>
        <w:rPr>
          <w:bCs/>
          <w:color w:val="000000"/>
          <w:lang w:val="es-SV"/>
        </w:rPr>
        <w:t xml:space="preserve">Acuerdo de Resolución sobre Información Reservada de esta Sesión, </w:t>
      </w:r>
      <w:r>
        <w:rPr>
          <w:b/>
          <w:color w:val="000000"/>
          <w:lang w:val="es-SV"/>
        </w:rPr>
        <w:t xml:space="preserve">EL CONSEJO SE DA POR ENTERADO.  </w:t>
      </w:r>
      <w:r>
        <w:rPr>
          <w:b/>
          <w:bCs/>
          <w:lang w:val="es-SV"/>
        </w:rPr>
        <w:t xml:space="preserve">IV.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JD-148/2022 DEL 19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33 </w:t>
      </w:r>
      <w:r>
        <w:rPr>
          <w:rFonts w:eastAsia="Arial"/>
          <w:b/>
        </w:rPr>
        <w:t xml:space="preserve">solicitudes de crédito por un monto de $686,984.76 </w:t>
      </w:r>
      <w:r>
        <w:rPr>
          <w:b/>
          <w:color w:val="000000"/>
          <w:lang w:val="es-SV"/>
        </w:rPr>
        <w:t xml:space="preserve">no teniendo ninguna observación que hacer al respecto al contenido del acta antes relacionada. </w:t>
      </w:r>
      <w:r>
        <w:rPr>
          <w:b/>
          <w:bCs/>
          <w:lang w:val="es-SV"/>
        </w:rPr>
        <w:t xml:space="preserve">V.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JD-149/2022 DEL 22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27 </w:t>
      </w:r>
      <w:r>
        <w:rPr>
          <w:rFonts w:eastAsia="Arial"/>
          <w:b/>
        </w:rPr>
        <w:t xml:space="preserve">solicitudes de crédito por un monto de $476,225.70 </w:t>
      </w:r>
      <w:r>
        <w:rPr>
          <w:b/>
          <w:color w:val="000000"/>
          <w:lang w:val="es-SV"/>
        </w:rPr>
        <w:t xml:space="preserve">no teniendo ninguna observación que hacer al respecto al contenido del acta antes relacionada.  </w:t>
      </w:r>
      <w:r>
        <w:rPr>
          <w:b/>
          <w:bCs/>
          <w:lang w:val="es-SV"/>
        </w:rPr>
        <w:t xml:space="preserve">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JD-150/2022 DEL 23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39 </w:t>
      </w:r>
      <w:r>
        <w:rPr>
          <w:rFonts w:eastAsia="Arial"/>
          <w:b/>
        </w:rPr>
        <w:t xml:space="preserve">solicitudes de crédito por un monto de $800,427.86 </w:t>
      </w:r>
      <w:r>
        <w:rPr>
          <w:b/>
          <w:color w:val="000000"/>
          <w:lang w:val="es-SV"/>
        </w:rPr>
        <w:t xml:space="preserve">no teniendo ninguna observación que hacer al respecto al contenido del acta antes relacionada. </w:t>
      </w:r>
      <w:r>
        <w:rPr>
          <w:b/>
          <w:bCs/>
          <w:lang w:val="es-SV"/>
        </w:rPr>
        <w:t xml:space="preserve">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JD-151/2022 DEL 24 DE AGOSTO DEL AÑO 2022.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34 </w:t>
      </w:r>
      <w:r>
        <w:rPr>
          <w:rFonts w:eastAsia="Arial"/>
          <w:b/>
        </w:rPr>
        <w:t xml:space="preserve">solicitudes de crédito por un monto de $620,330.15 </w:t>
      </w:r>
      <w:r>
        <w:rPr>
          <w:b/>
          <w:color w:val="000000"/>
          <w:lang w:val="es-SV"/>
        </w:rPr>
        <w:t xml:space="preserve">no teniendo ninguna observación que hacer al respecto al </w:t>
      </w:r>
      <w:r>
        <w:rPr>
          <w:b/>
          <w:color w:val="000000"/>
          <w:lang w:val="es-SV"/>
        </w:rPr>
        <w:lastRenderedPageBreak/>
        <w:t xml:space="preserve">contenido del acta antes relacionada. </w:t>
      </w:r>
      <w:r>
        <w:rPr>
          <w:b/>
          <w:bCs/>
          <w:lang w:val="es-SV"/>
        </w:rPr>
        <w:t xml:space="preserve">VIII. </w:t>
      </w:r>
      <w:r>
        <w:rPr>
          <w:b/>
          <w:color w:val="000000"/>
          <w:lang w:val="es-SV"/>
        </w:rPr>
        <w:t xml:space="preserve"> GESTIÓN Y RESPUESTA SOBRE SOLICITUDES ENVIADAS A LA ADMINISTRACIÓN. A) Solicitud y Respuesta a observación realizada del punto III denominado Resolución de Créditos para Vivienda, punto preveniente del Acta. JD-142/2022 visto en la Sesión CV-33/2022 del Consejo de Vigilancia, en dicho momento se solicitó la corrección del punto III del Acta de Junta Directiva No. JD-142/2022, en lo relativo a las fechas del período acumulado de aprobación de créditos para vivienda de la respectiva acta, por su parte Gerencia General envió el Acta corregida en fecha viernes 23 de septiembre de 2022, EL CONSEJO SE DA POR ENTERADO Y AGRADECE LA PRONTA RESPUESTA POR PARTE DE LA ADMINISTRACIÓN.  IX. 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X.</w:t>
      </w:r>
      <w:r>
        <w:rPr>
          <w:b/>
          <w:bCs/>
          <w:lang w:val="es-SV"/>
        </w:rPr>
        <w:t xml:space="preserve"> CORRESPONDENCIA RECIBIDA. Se recibió comunicación de Gerencia General, con la remisión del acta </w:t>
      </w:r>
      <w:r>
        <w:rPr>
          <w:b/>
          <w:color w:val="000000"/>
          <w:lang w:val="es-SV"/>
        </w:rPr>
        <w:t>JD-142/2022 modificada, en lo relativo a las fechas del período acumulado de aprobación de créditos para vivienda.</w:t>
      </w:r>
      <w:r>
        <w:rPr>
          <w:b/>
          <w:bCs/>
          <w:lang w:val="es-SV"/>
        </w:rPr>
        <w:t xml:space="preserve">  XI. VARIOS. En la presente no hubo puntos que tratar.</w:t>
      </w:r>
      <w:r>
        <w:rPr>
          <w:lang w:val="es-SV"/>
        </w:rPr>
        <w:t xml:space="preserve"> La </w:t>
      </w:r>
      <w:proofErr w:type="gramStart"/>
      <w:r>
        <w:rPr>
          <w:lang w:val="es-SV"/>
        </w:rPr>
        <w:t>Presidenta</w:t>
      </w:r>
      <w:proofErr w:type="gramEnd"/>
      <w:r>
        <w:rPr>
          <w:lang w:val="es-SV"/>
        </w:rPr>
        <w:t xml:space="preserve"> del Consejo convoca para la próxima reunión el día cuatro de octubre del año 2022, a las diez horas a realizarse en forma virtual vía </w:t>
      </w:r>
      <w:proofErr w:type="spellStart"/>
      <w:r>
        <w:rPr>
          <w:lang w:val="es-SV"/>
        </w:rPr>
        <w:t>teams</w:t>
      </w:r>
      <w:proofErr w:type="spellEnd"/>
      <w:r>
        <w:rPr>
          <w:lang w:val="es-SV"/>
        </w:rPr>
        <w:t>.</w:t>
      </w:r>
      <w:r>
        <w:rPr>
          <w:b/>
          <w:bCs/>
          <w:lang w:val="es-SV"/>
        </w:rPr>
        <w:t xml:space="preserve">  </w:t>
      </w:r>
      <w:r>
        <w:rPr>
          <w:lang w:val="es-SV"/>
        </w:rPr>
        <w:t>Y no habiendo más que hacer constar, se da por finalizada la presente reunión a las doce horas con seis minutos, ratificamos su contenido y firmamos.</w:t>
      </w:r>
    </w:p>
    <w:p w14:paraId="68CA7768" w14:textId="77777777" w:rsidR="00F40DE0" w:rsidRDefault="00F40DE0" w:rsidP="00F40DE0">
      <w:pPr>
        <w:spacing w:line="360" w:lineRule="auto"/>
        <w:jc w:val="both"/>
        <w:rPr>
          <w:sz w:val="22"/>
          <w:lang w:val="es-SV"/>
        </w:rPr>
      </w:pPr>
    </w:p>
    <w:p w14:paraId="3A53BA95" w14:textId="77777777" w:rsidR="00F40DE0" w:rsidRDefault="00F40DE0" w:rsidP="00F40DE0">
      <w:pPr>
        <w:spacing w:line="360" w:lineRule="auto"/>
        <w:jc w:val="both"/>
        <w:rPr>
          <w:sz w:val="22"/>
          <w:lang w:val="es-SV"/>
        </w:rPr>
      </w:pPr>
    </w:p>
    <w:p w14:paraId="1201C186" w14:textId="77777777" w:rsidR="00AF1EF6" w:rsidRPr="00F762AB" w:rsidRDefault="00AF1EF6" w:rsidP="00AF1EF6">
      <w:pPr>
        <w:jc w:val="center"/>
        <w:rPr>
          <w:b/>
        </w:rPr>
      </w:pPr>
      <w:r>
        <w:rPr>
          <w:rFonts w:ascii="Arial" w:hAnsi="Arial" w:cs="Arial"/>
          <w:b/>
          <w:i/>
          <w:sz w:val="20"/>
          <w:szCs w:val="20"/>
        </w:rPr>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Raúl Alfonso </w:t>
      </w:r>
      <w:proofErr w:type="spellStart"/>
      <w:r>
        <w:rPr>
          <w:rFonts w:ascii="Arial" w:hAnsi="Arial" w:cs="Arial"/>
          <w:b/>
          <w:i/>
          <w:sz w:val="20"/>
          <w:szCs w:val="20"/>
        </w:rPr>
        <w:t>Rogel</w:t>
      </w:r>
      <w:proofErr w:type="spellEnd"/>
      <w:r>
        <w:rPr>
          <w:rFonts w:ascii="Arial" w:hAnsi="Arial" w:cs="Arial"/>
          <w:b/>
          <w:i/>
          <w:sz w:val="20"/>
          <w:szCs w:val="20"/>
        </w:rPr>
        <w:t>.</w:t>
      </w:r>
    </w:p>
    <w:p w14:paraId="6869E959" w14:textId="77777777" w:rsidR="00AF1EF6" w:rsidRDefault="00AF1EF6" w:rsidP="00AF1EF6">
      <w:pPr>
        <w:spacing w:line="360" w:lineRule="auto"/>
        <w:jc w:val="both"/>
      </w:pPr>
    </w:p>
    <w:p w14:paraId="1F6ADE6E" w14:textId="77777777" w:rsidR="003C7EA5" w:rsidRDefault="003C7EA5"/>
    <w:sectPr w:rsidR="003C7E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471" w14:textId="77777777" w:rsidR="00AF1EF6" w:rsidRDefault="00AF1EF6" w:rsidP="00AF1EF6">
      <w:r>
        <w:separator/>
      </w:r>
    </w:p>
  </w:endnote>
  <w:endnote w:type="continuationSeparator" w:id="0">
    <w:p w14:paraId="601DD838" w14:textId="77777777" w:rsidR="00AF1EF6" w:rsidRDefault="00AF1EF6" w:rsidP="00AF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B8EE" w14:textId="77777777" w:rsidR="00AF1EF6" w:rsidRDefault="00AF1EF6" w:rsidP="00AF1EF6">
      <w:r>
        <w:separator/>
      </w:r>
    </w:p>
  </w:footnote>
  <w:footnote w:type="continuationSeparator" w:id="0">
    <w:p w14:paraId="28AFE426" w14:textId="77777777" w:rsidR="00AF1EF6" w:rsidRDefault="00AF1EF6" w:rsidP="00AF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C55E" w14:textId="77777777" w:rsidR="00AF1EF6" w:rsidRPr="000843BF" w:rsidRDefault="00AF1EF6" w:rsidP="00AF1EF6">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2517E23" w14:textId="77777777" w:rsidR="00AF1EF6" w:rsidRPr="000843BF" w:rsidRDefault="00AF1EF6" w:rsidP="00AF1EF6">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82FD308" w14:textId="77777777" w:rsidR="00AF1EF6" w:rsidRDefault="00AF1E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E0"/>
    <w:rsid w:val="003C7EA5"/>
    <w:rsid w:val="00AF1EF6"/>
    <w:rsid w:val="00F40D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B2D2"/>
  <w15:chartTrackingRefBased/>
  <w15:docId w15:val="{FD5807CD-FE36-4BC3-9736-79B8EC0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EF6"/>
    <w:pPr>
      <w:tabs>
        <w:tab w:val="center" w:pos="4419"/>
        <w:tab w:val="right" w:pos="8838"/>
      </w:tabs>
    </w:pPr>
  </w:style>
  <w:style w:type="character" w:customStyle="1" w:styleId="EncabezadoCar">
    <w:name w:val="Encabezado Car"/>
    <w:basedOn w:val="Fuentedeprrafopredeter"/>
    <w:link w:val="Encabezado"/>
    <w:uiPriority w:val="99"/>
    <w:rsid w:val="00AF1E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F1EF6"/>
    <w:pPr>
      <w:tabs>
        <w:tab w:val="center" w:pos="4419"/>
        <w:tab w:val="right" w:pos="8838"/>
      </w:tabs>
    </w:pPr>
  </w:style>
  <w:style w:type="character" w:customStyle="1" w:styleId="PiedepginaCar">
    <w:name w:val="Pie de página Car"/>
    <w:basedOn w:val="Fuentedeprrafopredeter"/>
    <w:link w:val="Piedepgina"/>
    <w:uiPriority w:val="99"/>
    <w:rsid w:val="00AF1EF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7988</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2022-10-26T21:01:00Z</dcterms:created>
  <dcterms:modified xsi:type="dcterms:W3CDTF">2022-10-26T21:41:00Z</dcterms:modified>
</cp:coreProperties>
</file>