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35F3" w:rsidRDefault="002535F3" w:rsidP="00A44867">
      <w:pPr>
        <w:spacing w:line="360" w:lineRule="auto"/>
        <w:jc w:val="right"/>
        <w:rPr>
          <w:b/>
          <w:sz w:val="21"/>
          <w:szCs w:val="21"/>
        </w:rPr>
      </w:pPr>
    </w:p>
    <w:p w:rsidR="002535F3" w:rsidRPr="0033772C" w:rsidRDefault="002535F3" w:rsidP="002535F3">
      <w:pPr>
        <w:spacing w:line="360" w:lineRule="auto"/>
        <w:rPr>
          <w:b/>
          <w:bCs/>
          <w:color w:val="002060"/>
          <w:sz w:val="22"/>
          <w:szCs w:val="22"/>
        </w:rPr>
      </w:pPr>
      <w:r w:rsidRPr="0033772C">
        <w:rPr>
          <w:noProof/>
          <w:sz w:val="22"/>
          <w:szCs w:val="22"/>
          <w:lang w:val="es-SV" w:eastAsia="es-SV"/>
        </w:rPr>
        <w:drawing>
          <wp:anchor distT="0" distB="0" distL="114300" distR="114300" simplePos="0" relativeHeight="251660288" behindDoc="0" locked="0" layoutInCell="1" allowOverlap="1" wp14:anchorId="5C683331" wp14:editId="2480CED2">
            <wp:simplePos x="0" y="0"/>
            <wp:positionH relativeFrom="margin">
              <wp:posOffset>5086350</wp:posOffset>
            </wp:positionH>
            <wp:positionV relativeFrom="margin">
              <wp:posOffset>-237490</wp:posOffset>
            </wp:positionV>
            <wp:extent cx="695325" cy="661035"/>
            <wp:effectExtent l="0" t="0" r="9525" b="5715"/>
            <wp:wrapSquare wrapText="bothSides"/>
            <wp:docPr id="2" name="Imagen 2" descr="1000px-Escudo 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1000px-Escudo E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61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3772C">
        <w:rPr>
          <w:noProof/>
          <w:sz w:val="22"/>
          <w:szCs w:val="22"/>
          <w:lang w:val="es-SV" w:eastAsia="es-SV"/>
        </w:rPr>
        <w:drawing>
          <wp:anchor distT="0" distB="0" distL="114300" distR="114300" simplePos="0" relativeHeight="251659264" behindDoc="0" locked="0" layoutInCell="1" allowOverlap="1" wp14:anchorId="7C8B16F7" wp14:editId="7EFD0946">
            <wp:simplePos x="0" y="0"/>
            <wp:positionH relativeFrom="margin">
              <wp:posOffset>0</wp:posOffset>
            </wp:positionH>
            <wp:positionV relativeFrom="paragraph">
              <wp:posOffset>-295275</wp:posOffset>
            </wp:positionV>
            <wp:extent cx="2162175" cy="723265"/>
            <wp:effectExtent l="0" t="0" r="0" b="0"/>
            <wp:wrapNone/>
            <wp:docPr id="1" name="Imagen 1" descr="4- iaip_horizontal_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4- iaip_horizontal_s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535F3" w:rsidRPr="0033772C" w:rsidRDefault="002535F3" w:rsidP="002535F3">
      <w:pPr>
        <w:jc w:val="center"/>
        <w:rPr>
          <w:b/>
          <w:bCs/>
          <w:color w:val="002060"/>
          <w:sz w:val="22"/>
          <w:szCs w:val="22"/>
        </w:rPr>
      </w:pPr>
    </w:p>
    <w:p w:rsidR="002535F3" w:rsidRPr="004D1D80" w:rsidRDefault="002535F3" w:rsidP="002535F3">
      <w:pPr>
        <w:spacing w:line="360" w:lineRule="auto"/>
        <w:jc w:val="center"/>
        <w:rPr>
          <w:b/>
          <w:bCs/>
          <w:color w:val="1F3864" w:themeColor="accent5" w:themeShade="80"/>
          <w:sz w:val="21"/>
          <w:szCs w:val="21"/>
        </w:rPr>
      </w:pPr>
      <w:r>
        <w:rPr>
          <w:b/>
          <w:bCs/>
          <w:color w:val="1F3864" w:themeColor="accent5" w:themeShade="80"/>
          <w:sz w:val="21"/>
          <w:szCs w:val="21"/>
        </w:rPr>
        <w:t xml:space="preserve"> NUE 46</w:t>
      </w:r>
      <w:r w:rsidRPr="004D1D80">
        <w:rPr>
          <w:b/>
          <w:bCs/>
          <w:color w:val="1F3864" w:themeColor="accent5" w:themeShade="80"/>
          <w:sz w:val="21"/>
          <w:szCs w:val="21"/>
        </w:rPr>
        <w:t>-A-2017</w:t>
      </w:r>
    </w:p>
    <w:p w:rsidR="002535F3" w:rsidRPr="004D1D80" w:rsidRDefault="002535F3" w:rsidP="002535F3">
      <w:pPr>
        <w:spacing w:line="360" w:lineRule="auto"/>
        <w:jc w:val="center"/>
        <w:rPr>
          <w:b/>
          <w:bCs/>
          <w:color w:val="1F3864" w:themeColor="accent5" w:themeShade="80"/>
          <w:sz w:val="21"/>
          <w:szCs w:val="21"/>
        </w:rPr>
      </w:pPr>
    </w:p>
    <w:p w:rsidR="002535F3" w:rsidRPr="004D1D80" w:rsidRDefault="002535F3" w:rsidP="002535F3">
      <w:pPr>
        <w:spacing w:line="360" w:lineRule="auto"/>
        <w:jc w:val="center"/>
        <w:rPr>
          <w:b/>
          <w:bCs/>
          <w:color w:val="1F3864" w:themeColor="accent5" w:themeShade="80"/>
          <w:sz w:val="21"/>
          <w:szCs w:val="21"/>
        </w:rPr>
      </w:pPr>
      <w:proofErr w:type="spellStart"/>
      <w:r>
        <w:rPr>
          <w:b/>
          <w:color w:val="1F3864" w:themeColor="accent5" w:themeShade="80"/>
          <w:sz w:val="21"/>
          <w:szCs w:val="21"/>
        </w:rPr>
        <w:t>Huezo</w:t>
      </w:r>
      <w:proofErr w:type="spellEnd"/>
      <w:r>
        <w:rPr>
          <w:b/>
          <w:color w:val="1F3864" w:themeColor="accent5" w:themeShade="80"/>
          <w:sz w:val="21"/>
          <w:szCs w:val="21"/>
        </w:rPr>
        <w:t xml:space="preserve"> de Claros </w:t>
      </w:r>
      <w:r w:rsidRPr="004D1D80">
        <w:rPr>
          <w:b/>
          <w:bCs/>
          <w:color w:val="1F3864" w:themeColor="accent5" w:themeShade="80"/>
          <w:sz w:val="21"/>
          <w:szCs w:val="21"/>
        </w:rPr>
        <w:t xml:space="preserve">contra </w:t>
      </w:r>
      <w:r>
        <w:rPr>
          <w:b/>
          <w:bCs/>
          <w:color w:val="1F3864" w:themeColor="accent5" w:themeShade="80"/>
          <w:sz w:val="21"/>
          <w:szCs w:val="21"/>
        </w:rPr>
        <w:t>Dirección General de Impuestos Internos (DGII)</w:t>
      </w:r>
    </w:p>
    <w:p w:rsidR="002535F3" w:rsidRPr="004D1D80" w:rsidRDefault="002535F3" w:rsidP="002535F3">
      <w:pPr>
        <w:spacing w:line="360" w:lineRule="auto"/>
        <w:jc w:val="center"/>
        <w:rPr>
          <w:b/>
          <w:bCs/>
          <w:color w:val="1F3864" w:themeColor="accent5" w:themeShade="80"/>
          <w:sz w:val="21"/>
          <w:szCs w:val="21"/>
        </w:rPr>
      </w:pPr>
      <w:r w:rsidRPr="004D1D80">
        <w:rPr>
          <w:b/>
          <w:bCs/>
          <w:color w:val="1F3864" w:themeColor="accent5" w:themeShade="80"/>
          <w:sz w:val="21"/>
          <w:szCs w:val="21"/>
        </w:rPr>
        <w:t>Improcedencia</w:t>
      </w:r>
    </w:p>
    <w:p w:rsidR="002535F3" w:rsidRDefault="002535F3" w:rsidP="002535F3">
      <w:pPr>
        <w:spacing w:line="360" w:lineRule="auto"/>
        <w:jc w:val="center"/>
        <w:rPr>
          <w:b/>
          <w:sz w:val="21"/>
          <w:szCs w:val="21"/>
        </w:rPr>
      </w:pPr>
    </w:p>
    <w:p w:rsidR="00A44867" w:rsidRPr="00106EC6" w:rsidRDefault="00A44867" w:rsidP="00A44867">
      <w:pPr>
        <w:spacing w:after="240" w:line="360" w:lineRule="auto"/>
        <w:jc w:val="both"/>
        <w:rPr>
          <w:sz w:val="21"/>
          <w:szCs w:val="21"/>
        </w:rPr>
      </w:pPr>
      <w:r w:rsidRPr="00106EC6">
        <w:rPr>
          <w:b/>
          <w:sz w:val="21"/>
          <w:szCs w:val="21"/>
        </w:rPr>
        <w:t>INSTITUTO DE ACCESO A LA INFORMACION PÙBLICA</w:t>
      </w:r>
      <w:r w:rsidRPr="00106EC6">
        <w:rPr>
          <w:sz w:val="21"/>
          <w:szCs w:val="21"/>
        </w:rPr>
        <w:t xml:space="preserve">: San Salvador, a las nueve horas </w:t>
      </w:r>
      <w:r w:rsidR="006052F3">
        <w:rPr>
          <w:sz w:val="21"/>
          <w:szCs w:val="21"/>
        </w:rPr>
        <w:t xml:space="preserve">con quince minutos del diecisiete </w:t>
      </w:r>
      <w:r w:rsidR="002535F3">
        <w:rPr>
          <w:sz w:val="21"/>
          <w:szCs w:val="21"/>
        </w:rPr>
        <w:t>de mayo</w:t>
      </w:r>
      <w:r>
        <w:rPr>
          <w:sz w:val="21"/>
          <w:szCs w:val="21"/>
        </w:rPr>
        <w:t xml:space="preserve"> de dos mil diecisiete.</w:t>
      </w:r>
    </w:p>
    <w:p w:rsidR="00A44867" w:rsidRPr="00106EC6" w:rsidRDefault="00A44867" w:rsidP="00A44867">
      <w:pPr>
        <w:spacing w:line="360" w:lineRule="auto"/>
        <w:ind w:firstLine="567"/>
        <w:jc w:val="both"/>
        <w:rPr>
          <w:b/>
          <w:sz w:val="21"/>
          <w:szCs w:val="21"/>
        </w:rPr>
      </w:pPr>
      <w:r>
        <w:rPr>
          <w:sz w:val="21"/>
          <w:szCs w:val="21"/>
        </w:rPr>
        <w:t xml:space="preserve">El 9 de febrero </w:t>
      </w:r>
      <w:r w:rsidRPr="00106EC6">
        <w:rPr>
          <w:sz w:val="21"/>
          <w:szCs w:val="21"/>
        </w:rPr>
        <w:t>de este año</w:t>
      </w:r>
      <w:r w:rsidRPr="00106EC6">
        <w:rPr>
          <w:sz w:val="21"/>
          <w:szCs w:val="21"/>
          <w:lang w:val="es-SV"/>
        </w:rPr>
        <w:t xml:space="preserve">, </w:t>
      </w:r>
      <w:proofErr w:type="spellStart"/>
      <w:r>
        <w:rPr>
          <w:b/>
          <w:sz w:val="21"/>
          <w:szCs w:val="21"/>
        </w:rPr>
        <w:t>Daniella</w:t>
      </w:r>
      <w:proofErr w:type="spellEnd"/>
      <w:r>
        <w:rPr>
          <w:b/>
          <w:sz w:val="21"/>
          <w:szCs w:val="21"/>
        </w:rPr>
        <w:t xml:space="preserve"> </w:t>
      </w:r>
      <w:proofErr w:type="spellStart"/>
      <w:r>
        <w:rPr>
          <w:b/>
          <w:sz w:val="21"/>
          <w:szCs w:val="21"/>
        </w:rPr>
        <w:t>Huezo</w:t>
      </w:r>
      <w:proofErr w:type="spellEnd"/>
      <w:r>
        <w:rPr>
          <w:b/>
          <w:sz w:val="21"/>
          <w:szCs w:val="21"/>
        </w:rPr>
        <w:t xml:space="preserve"> de Claros </w:t>
      </w:r>
      <w:r w:rsidRPr="00106EC6">
        <w:rPr>
          <w:sz w:val="21"/>
          <w:szCs w:val="21"/>
        </w:rPr>
        <w:t xml:space="preserve">remitió recurso de apelación en contra de la resolución emitida por </w:t>
      </w:r>
      <w:r>
        <w:rPr>
          <w:sz w:val="21"/>
          <w:szCs w:val="21"/>
        </w:rPr>
        <w:t xml:space="preserve">el </w:t>
      </w:r>
      <w:r w:rsidR="00995AD2" w:rsidRPr="00995AD2">
        <w:rPr>
          <w:b/>
          <w:sz w:val="21"/>
          <w:szCs w:val="21"/>
        </w:rPr>
        <w:t>Director General de la Dirección General de Impuestos Internos (DGII)</w:t>
      </w:r>
      <w:r w:rsidR="00995AD2">
        <w:rPr>
          <w:sz w:val="21"/>
          <w:szCs w:val="21"/>
        </w:rPr>
        <w:t>,</w:t>
      </w:r>
      <w:r w:rsidR="00995AD2" w:rsidRPr="00995AD2">
        <w:rPr>
          <w:sz w:val="21"/>
          <w:szCs w:val="21"/>
        </w:rPr>
        <w:t xml:space="preserve"> </w:t>
      </w:r>
      <w:r w:rsidR="00995AD2">
        <w:rPr>
          <w:sz w:val="21"/>
          <w:szCs w:val="21"/>
        </w:rPr>
        <w:t>el 30</w:t>
      </w:r>
      <w:r>
        <w:rPr>
          <w:sz w:val="21"/>
          <w:szCs w:val="21"/>
        </w:rPr>
        <w:t xml:space="preserve"> de enero del presente año la cual fue notificada a través de correo electrónico</w:t>
      </w:r>
      <w:r w:rsidR="00995AD2">
        <w:rPr>
          <w:sz w:val="21"/>
          <w:szCs w:val="21"/>
        </w:rPr>
        <w:t>, el 2 de febrero del presente año.</w:t>
      </w:r>
    </w:p>
    <w:p w:rsidR="00A44867" w:rsidRPr="00106EC6" w:rsidRDefault="00A44867" w:rsidP="00A44867">
      <w:pPr>
        <w:spacing w:line="360" w:lineRule="auto"/>
        <w:ind w:firstLine="567"/>
        <w:jc w:val="both"/>
        <w:rPr>
          <w:b/>
          <w:sz w:val="21"/>
          <w:szCs w:val="21"/>
        </w:rPr>
      </w:pPr>
    </w:p>
    <w:p w:rsidR="002535F3" w:rsidRPr="004D1D80" w:rsidRDefault="002535F3" w:rsidP="002535F3">
      <w:pPr>
        <w:spacing w:line="360" w:lineRule="auto"/>
        <w:jc w:val="both"/>
        <w:rPr>
          <w:b/>
          <w:sz w:val="21"/>
          <w:szCs w:val="21"/>
        </w:rPr>
      </w:pPr>
      <w:r>
        <w:rPr>
          <w:sz w:val="21"/>
          <w:szCs w:val="21"/>
        </w:rPr>
        <w:t xml:space="preserve">  </w:t>
      </w:r>
      <w:r w:rsidRPr="004D1D80">
        <w:rPr>
          <w:sz w:val="21"/>
          <w:szCs w:val="21"/>
        </w:rPr>
        <w:t xml:space="preserve">          </w:t>
      </w:r>
      <w:r w:rsidR="00CA11E7">
        <w:rPr>
          <w:sz w:val="21"/>
          <w:szCs w:val="21"/>
        </w:rPr>
        <w:t xml:space="preserve">  De conformidad con los Arts.</w:t>
      </w:r>
      <w:r w:rsidRPr="004D1D80">
        <w:rPr>
          <w:sz w:val="21"/>
          <w:szCs w:val="21"/>
        </w:rPr>
        <w:t xml:space="preserve"> 84 de la Ley de Acceso a la Información Pública (LAIP); y, 54 y 76 de su Reglamento, el recurso de apelación debe, entre otros puntos, presentarse por escrito, </w:t>
      </w:r>
      <w:r w:rsidR="00CA11E7">
        <w:rPr>
          <w:sz w:val="21"/>
          <w:szCs w:val="21"/>
        </w:rPr>
        <w:t>señalando la dependencia o entidad ante la cual se presentó la solicitud de información</w:t>
      </w:r>
      <w:r w:rsidR="00AB59DD">
        <w:rPr>
          <w:sz w:val="21"/>
          <w:szCs w:val="21"/>
        </w:rPr>
        <w:t>.</w:t>
      </w:r>
    </w:p>
    <w:p w:rsidR="002535F3" w:rsidRPr="004D1D80" w:rsidRDefault="002535F3" w:rsidP="002535F3">
      <w:pPr>
        <w:spacing w:before="240" w:line="360" w:lineRule="auto"/>
        <w:jc w:val="both"/>
        <w:rPr>
          <w:sz w:val="21"/>
          <w:szCs w:val="21"/>
        </w:rPr>
      </w:pPr>
      <w:r w:rsidRPr="004D1D80">
        <w:rPr>
          <w:sz w:val="21"/>
          <w:szCs w:val="21"/>
        </w:rPr>
        <w:t xml:space="preserve">        En el presente caso, este Instituto advierte que el escrito presentado por </w:t>
      </w:r>
      <w:proofErr w:type="spellStart"/>
      <w:r w:rsidR="00AB59DD">
        <w:rPr>
          <w:b/>
          <w:sz w:val="21"/>
          <w:szCs w:val="21"/>
        </w:rPr>
        <w:t>Huezo</w:t>
      </w:r>
      <w:proofErr w:type="spellEnd"/>
      <w:r w:rsidR="00AB59DD">
        <w:rPr>
          <w:b/>
          <w:sz w:val="21"/>
          <w:szCs w:val="21"/>
        </w:rPr>
        <w:t xml:space="preserve"> de Claros</w:t>
      </w:r>
      <w:r w:rsidRPr="004D1D80">
        <w:rPr>
          <w:sz w:val="21"/>
          <w:szCs w:val="21"/>
        </w:rPr>
        <w:t xml:space="preserve">, no cumple con los requisitos formales establecidos en la LAIP, ya que </w:t>
      </w:r>
      <w:r w:rsidR="00AB59DD">
        <w:rPr>
          <w:sz w:val="21"/>
          <w:szCs w:val="21"/>
        </w:rPr>
        <w:t>se recurre de una resolución que no fue emitida por el Oficial de Información, pues la solicitud de información</w:t>
      </w:r>
      <w:r w:rsidR="00A10B57">
        <w:rPr>
          <w:sz w:val="21"/>
          <w:szCs w:val="21"/>
        </w:rPr>
        <w:t xml:space="preserve"> debió</w:t>
      </w:r>
      <w:r w:rsidR="00AB59DD">
        <w:rPr>
          <w:sz w:val="21"/>
          <w:szCs w:val="21"/>
        </w:rPr>
        <w:t xml:space="preserve"> presentarse ante el Oficial de Información del Ministeri</w:t>
      </w:r>
      <w:r w:rsidR="00A10B57">
        <w:rPr>
          <w:sz w:val="21"/>
          <w:szCs w:val="21"/>
        </w:rPr>
        <w:t>o de Hacienda.</w:t>
      </w:r>
    </w:p>
    <w:p w:rsidR="002535F3" w:rsidRPr="004D1D80" w:rsidRDefault="002535F3" w:rsidP="002535F3">
      <w:pPr>
        <w:spacing w:before="240" w:after="240" w:line="360" w:lineRule="auto"/>
        <w:jc w:val="both"/>
        <w:rPr>
          <w:sz w:val="21"/>
          <w:szCs w:val="21"/>
        </w:rPr>
      </w:pPr>
      <w:r w:rsidRPr="004D1D80">
        <w:rPr>
          <w:sz w:val="21"/>
          <w:szCs w:val="21"/>
        </w:rPr>
        <w:t xml:space="preserve">       Por tanto, de conformidad con lo antes expuesto, las disposiciones legales citadas y los Arts. 6 y 18 de la Constitución, </w:t>
      </w:r>
      <w:r w:rsidR="00A10B57">
        <w:rPr>
          <w:sz w:val="21"/>
          <w:szCs w:val="21"/>
        </w:rPr>
        <w:t>y Art. 97 letra “c” de la LAIP e</w:t>
      </w:r>
      <w:r w:rsidRPr="004D1D80">
        <w:rPr>
          <w:sz w:val="21"/>
          <w:szCs w:val="21"/>
        </w:rPr>
        <w:t xml:space="preserve">ste Instituto </w:t>
      </w:r>
      <w:r w:rsidRPr="004D1D80">
        <w:rPr>
          <w:b/>
          <w:sz w:val="21"/>
          <w:szCs w:val="21"/>
        </w:rPr>
        <w:t>resuelve:</w:t>
      </w:r>
    </w:p>
    <w:p w:rsidR="00705FC9" w:rsidRDefault="00705FC9" w:rsidP="002535F3">
      <w:pPr>
        <w:spacing w:before="240" w:line="360" w:lineRule="auto"/>
        <w:jc w:val="both"/>
        <w:rPr>
          <w:sz w:val="21"/>
          <w:szCs w:val="21"/>
        </w:rPr>
      </w:pPr>
      <w:r>
        <w:rPr>
          <w:b/>
          <w:sz w:val="21"/>
          <w:szCs w:val="21"/>
        </w:rPr>
        <w:t xml:space="preserve">       a) Declarar</w:t>
      </w:r>
      <w:r w:rsidR="002535F3" w:rsidRPr="004D1D80">
        <w:rPr>
          <w:b/>
          <w:sz w:val="21"/>
          <w:szCs w:val="21"/>
        </w:rPr>
        <w:t xml:space="preserve"> improcedente</w:t>
      </w:r>
      <w:r w:rsidR="002535F3" w:rsidRPr="004D1D80">
        <w:rPr>
          <w:i/>
          <w:sz w:val="21"/>
          <w:szCs w:val="21"/>
        </w:rPr>
        <w:t xml:space="preserve"> </w:t>
      </w:r>
      <w:r w:rsidR="002535F3" w:rsidRPr="004D1D80">
        <w:rPr>
          <w:sz w:val="21"/>
          <w:szCs w:val="21"/>
        </w:rPr>
        <w:t xml:space="preserve">el recurso de apelación interpuesto por </w:t>
      </w:r>
      <w:proofErr w:type="spellStart"/>
      <w:r>
        <w:rPr>
          <w:b/>
          <w:sz w:val="21"/>
          <w:szCs w:val="21"/>
        </w:rPr>
        <w:t>Daniella</w:t>
      </w:r>
      <w:proofErr w:type="spellEnd"/>
      <w:r>
        <w:rPr>
          <w:b/>
          <w:sz w:val="21"/>
          <w:szCs w:val="21"/>
        </w:rPr>
        <w:t xml:space="preserve"> </w:t>
      </w:r>
      <w:proofErr w:type="spellStart"/>
      <w:r>
        <w:rPr>
          <w:b/>
          <w:sz w:val="21"/>
          <w:szCs w:val="21"/>
        </w:rPr>
        <w:t>Huezo</w:t>
      </w:r>
      <w:proofErr w:type="spellEnd"/>
      <w:r>
        <w:rPr>
          <w:b/>
          <w:sz w:val="21"/>
          <w:szCs w:val="21"/>
        </w:rPr>
        <w:t xml:space="preserve"> de Claros</w:t>
      </w:r>
      <w:r>
        <w:rPr>
          <w:sz w:val="21"/>
          <w:szCs w:val="21"/>
        </w:rPr>
        <w:t>.</w:t>
      </w:r>
    </w:p>
    <w:p w:rsidR="00705FC9" w:rsidRDefault="002535F3" w:rsidP="002535F3">
      <w:pPr>
        <w:spacing w:before="240" w:line="360" w:lineRule="auto"/>
        <w:jc w:val="both"/>
        <w:rPr>
          <w:sz w:val="21"/>
          <w:szCs w:val="21"/>
        </w:rPr>
      </w:pPr>
      <w:r w:rsidRPr="004D1D80">
        <w:rPr>
          <w:sz w:val="21"/>
          <w:szCs w:val="21"/>
        </w:rPr>
        <w:t xml:space="preserve">       </w:t>
      </w:r>
      <w:r w:rsidRPr="004D1D80">
        <w:rPr>
          <w:b/>
          <w:sz w:val="21"/>
          <w:szCs w:val="21"/>
        </w:rPr>
        <w:t xml:space="preserve"> b) Archivar</w:t>
      </w:r>
      <w:r w:rsidRPr="004D1D80">
        <w:rPr>
          <w:i/>
          <w:sz w:val="21"/>
          <w:szCs w:val="21"/>
        </w:rPr>
        <w:t xml:space="preserve"> </w:t>
      </w:r>
      <w:r w:rsidRPr="004D1D80">
        <w:rPr>
          <w:sz w:val="21"/>
          <w:szCs w:val="21"/>
        </w:rPr>
        <w:t>definitivamente este expediente, una vez quede firme la presente resolución.</w:t>
      </w:r>
    </w:p>
    <w:p w:rsidR="002535F3" w:rsidRDefault="002535F3" w:rsidP="002535F3">
      <w:pPr>
        <w:spacing w:line="360" w:lineRule="auto"/>
        <w:jc w:val="both"/>
        <w:rPr>
          <w:b/>
          <w:sz w:val="21"/>
          <w:szCs w:val="21"/>
        </w:rPr>
      </w:pPr>
      <w:r>
        <w:rPr>
          <w:b/>
          <w:i/>
          <w:sz w:val="21"/>
          <w:szCs w:val="21"/>
        </w:rPr>
        <w:t xml:space="preserve">        </w:t>
      </w:r>
      <w:r w:rsidRPr="004D1D80">
        <w:rPr>
          <w:b/>
          <w:sz w:val="21"/>
          <w:szCs w:val="21"/>
        </w:rPr>
        <w:t>Notifíquese.-</w:t>
      </w:r>
    </w:p>
    <w:p w:rsidR="00D51604" w:rsidRDefault="00D51604" w:rsidP="00D51604">
      <w:pPr>
        <w:autoSpaceDE w:val="0"/>
        <w:autoSpaceDN w:val="0"/>
        <w:adjustRightInd w:val="0"/>
        <w:spacing w:before="240"/>
        <w:rPr>
          <w:b/>
          <w:sz w:val="22"/>
          <w:szCs w:val="22"/>
        </w:rPr>
      </w:pPr>
      <w:r>
        <w:rPr>
          <w:b/>
          <w:sz w:val="22"/>
          <w:szCs w:val="22"/>
        </w:rPr>
        <w:t>Notifíquese.</w:t>
      </w:r>
    </w:p>
    <w:p w:rsidR="00D51604" w:rsidRDefault="00D51604" w:rsidP="00D51604">
      <w:pPr>
        <w:autoSpaceDE w:val="0"/>
        <w:autoSpaceDN w:val="0"/>
        <w:adjustRightInd w:val="0"/>
        <w:spacing w:before="240"/>
        <w:rPr>
          <w:b/>
          <w:sz w:val="22"/>
          <w:szCs w:val="22"/>
          <w:lang w:val="es-US" w:eastAsia="en-US"/>
        </w:rPr>
      </w:pPr>
      <w:bookmarkStart w:id="0" w:name="_GoBack"/>
      <w:bookmarkEnd w:id="0"/>
    </w:p>
    <w:p w:rsidR="00D51604" w:rsidRDefault="00D51604" w:rsidP="00D51604">
      <w:pPr>
        <w:rPr>
          <w:sz w:val="25"/>
          <w:szCs w:val="25"/>
        </w:rPr>
      </w:pPr>
      <w:r>
        <w:rPr>
          <w:color w:val="000000"/>
        </w:rPr>
        <w:t>------------------------------- C H SEGOVIA---------------------------- ILEGIBLE ---------------------- J CAMPOS ---------------------------------- ILEGIBLE-----------</w:t>
      </w:r>
      <w:r w:rsidRPr="00D51604">
        <w:rPr>
          <w:color w:val="000000"/>
        </w:rPr>
        <w:t xml:space="preserve"> </w:t>
      </w:r>
      <w:r>
        <w:rPr>
          <w:color w:val="000000"/>
        </w:rPr>
        <w:t>ILEGIBLE</w:t>
      </w:r>
      <w:r>
        <w:rPr>
          <w:color w:val="000000"/>
        </w:rPr>
        <w:t xml:space="preserve"> </w:t>
      </w:r>
      <w:r>
        <w:rPr>
          <w:color w:val="000000"/>
        </w:rPr>
        <w:t xml:space="preserve">--------- ---------------------PRONUNCIADO POR LA COMISIONADA Y LOS COMISIONADOS QUE </w:t>
      </w:r>
      <w:r>
        <w:rPr>
          <w:color w:val="000000"/>
        </w:rPr>
        <w:lastRenderedPageBreak/>
        <w:t>LOSUSCRIBEN””””””””””””””””””””””””””””””””””””””””””””””””””’’’’’’’’’’’’’’’’’’’””””””””””””””””RUBRICADAS</w:t>
      </w:r>
    </w:p>
    <w:p w:rsidR="00A44867" w:rsidRDefault="00A44867" w:rsidP="00705FC9">
      <w:pPr>
        <w:spacing w:line="360" w:lineRule="auto"/>
        <w:jc w:val="both"/>
        <w:rPr>
          <w:sz w:val="21"/>
          <w:szCs w:val="21"/>
        </w:rPr>
      </w:pPr>
    </w:p>
    <w:p w:rsidR="00705FC9" w:rsidRPr="00106EC6" w:rsidRDefault="00705FC9" w:rsidP="00705FC9">
      <w:pPr>
        <w:spacing w:line="360" w:lineRule="auto"/>
        <w:jc w:val="both"/>
        <w:rPr>
          <w:sz w:val="21"/>
          <w:szCs w:val="21"/>
        </w:rPr>
      </w:pPr>
    </w:p>
    <w:p w:rsidR="00A44867" w:rsidRPr="00106EC6" w:rsidRDefault="00A44867" w:rsidP="00A44867">
      <w:pPr>
        <w:spacing w:line="360" w:lineRule="auto"/>
        <w:jc w:val="both"/>
        <w:rPr>
          <w:sz w:val="21"/>
          <w:szCs w:val="21"/>
        </w:rPr>
      </w:pPr>
    </w:p>
    <w:p w:rsidR="00A44867" w:rsidRPr="00106EC6" w:rsidRDefault="00A44867" w:rsidP="00A44867">
      <w:pPr>
        <w:spacing w:line="360" w:lineRule="auto"/>
        <w:jc w:val="both"/>
        <w:rPr>
          <w:b/>
          <w:sz w:val="21"/>
          <w:szCs w:val="21"/>
        </w:rPr>
      </w:pPr>
      <w:r w:rsidRPr="00106EC6">
        <w:rPr>
          <w:b/>
          <w:sz w:val="21"/>
          <w:szCs w:val="21"/>
        </w:rPr>
        <w:t>PRONUNCIADA POR LA COMISIONADA Y LOS COMISIONADOS QUE LA SUSCRIBEN.</w:t>
      </w:r>
    </w:p>
    <w:p w:rsidR="00A44867" w:rsidRPr="00106EC6" w:rsidRDefault="00A44867" w:rsidP="00A44867">
      <w:pPr>
        <w:spacing w:line="360" w:lineRule="auto"/>
        <w:jc w:val="both"/>
        <w:rPr>
          <w:sz w:val="21"/>
          <w:szCs w:val="21"/>
        </w:rPr>
      </w:pPr>
      <w:proofErr w:type="spellStart"/>
      <w:proofErr w:type="gramStart"/>
      <w:r w:rsidRPr="00106EC6">
        <w:rPr>
          <w:sz w:val="21"/>
          <w:szCs w:val="21"/>
        </w:rPr>
        <w:t>gg</w:t>
      </w:r>
      <w:proofErr w:type="spellEnd"/>
      <w:proofErr w:type="gramEnd"/>
    </w:p>
    <w:p w:rsidR="00A44867" w:rsidRPr="00B7234F" w:rsidRDefault="00A44867" w:rsidP="00B7234F">
      <w:pPr>
        <w:spacing w:after="240" w:line="360" w:lineRule="auto"/>
        <w:jc w:val="both"/>
        <w:rPr>
          <w:color w:val="000000" w:themeColor="text1"/>
          <w:sz w:val="21"/>
          <w:szCs w:val="21"/>
          <w:shd w:val="clear" w:color="auto" w:fill="F8F9F6"/>
        </w:rPr>
      </w:pPr>
    </w:p>
    <w:sectPr w:rsidR="00A44867" w:rsidRPr="00B7234F" w:rsidSect="00A17BCE"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742D" w:rsidRDefault="00B7234F">
      <w:r>
        <w:separator/>
      </w:r>
    </w:p>
  </w:endnote>
  <w:endnote w:type="continuationSeparator" w:id="0">
    <w:p w:rsidR="0013742D" w:rsidRDefault="00B72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239196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E17786" w:rsidRDefault="00D136EA">
            <w:pPr>
              <w:pStyle w:val="Piedepgina"/>
              <w:jc w:val="center"/>
            </w:pPr>
            <w:r>
              <w:t xml:space="preserve">Página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D51604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de </w:t>
            </w:r>
            <w:r w:rsidR="00B55066">
              <w:rPr>
                <w:b/>
                <w:bCs/>
              </w:rPr>
              <w:t>1</w:t>
            </w:r>
          </w:p>
        </w:sdtContent>
      </w:sdt>
    </w:sdtContent>
  </w:sdt>
  <w:p w:rsidR="00E17786" w:rsidRDefault="00D5160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742D" w:rsidRDefault="00B7234F">
      <w:r>
        <w:separator/>
      </w:r>
    </w:p>
  </w:footnote>
  <w:footnote w:type="continuationSeparator" w:id="0">
    <w:p w:rsidR="0013742D" w:rsidRDefault="00B723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867"/>
    <w:rsid w:val="0013742D"/>
    <w:rsid w:val="002535F3"/>
    <w:rsid w:val="006052F3"/>
    <w:rsid w:val="00705FC9"/>
    <w:rsid w:val="00800E91"/>
    <w:rsid w:val="0080308D"/>
    <w:rsid w:val="00995AD2"/>
    <w:rsid w:val="00A10B57"/>
    <w:rsid w:val="00A44867"/>
    <w:rsid w:val="00AB59DD"/>
    <w:rsid w:val="00B55066"/>
    <w:rsid w:val="00B7234F"/>
    <w:rsid w:val="00CA11E7"/>
    <w:rsid w:val="00D136EA"/>
    <w:rsid w:val="00D51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19C1B4-53DF-48E7-BAF1-A6E3D6798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48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44867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A448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44867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B5506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55066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95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319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Recepcion_Denuncias</dc:creator>
  <cp:keywords/>
  <dc:description/>
  <cp:lastModifiedBy>admin</cp:lastModifiedBy>
  <cp:revision>12</cp:revision>
  <dcterms:created xsi:type="dcterms:W3CDTF">2017-03-06T16:09:00Z</dcterms:created>
  <dcterms:modified xsi:type="dcterms:W3CDTF">2017-07-26T16:51:00Z</dcterms:modified>
</cp:coreProperties>
</file>