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51" w:rsidRPr="00B437C2" w:rsidRDefault="00927151" w:rsidP="00927151">
      <w:pPr>
        <w:spacing w:line="240" w:lineRule="auto"/>
        <w:jc w:val="center"/>
        <w:rPr>
          <w:b/>
          <w:bCs/>
          <w:color w:val="002060"/>
          <w:sz w:val="24"/>
          <w:szCs w:val="24"/>
        </w:rPr>
      </w:pPr>
      <w:bookmarkStart w:id="0" w:name="_GoBack"/>
      <w:bookmarkEnd w:id="0"/>
      <w:r w:rsidRPr="00B437C2">
        <w:rPr>
          <w:noProof/>
          <w:sz w:val="24"/>
          <w:szCs w:val="24"/>
          <w:lang w:eastAsia="es-SV"/>
        </w:rPr>
        <w:drawing>
          <wp:anchor distT="0" distB="0" distL="114300" distR="114300" simplePos="0" relativeHeight="251659264" behindDoc="0" locked="0" layoutInCell="1" allowOverlap="1" wp14:anchorId="3532DC62" wp14:editId="7B3D6148">
            <wp:simplePos x="0" y="0"/>
            <wp:positionH relativeFrom="margin">
              <wp:align>right</wp:align>
            </wp:positionH>
            <wp:positionV relativeFrom="margin">
              <wp:posOffset>3810</wp:posOffset>
            </wp:positionV>
            <wp:extent cx="695325" cy="661035"/>
            <wp:effectExtent l="0" t="0" r="9525" b="5715"/>
            <wp:wrapSquare wrapText="bothSides"/>
            <wp:docPr id="2" name="Imagen 2" descr="1000px-Escudo 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1000px-Escudo 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7C2">
        <w:rPr>
          <w:noProof/>
          <w:sz w:val="24"/>
          <w:szCs w:val="24"/>
          <w:lang w:eastAsia="es-SV"/>
        </w:rPr>
        <w:drawing>
          <wp:anchor distT="0" distB="0" distL="114300" distR="114300" simplePos="0" relativeHeight="251660288" behindDoc="0" locked="0" layoutInCell="1" allowOverlap="1" wp14:anchorId="7CCA0482" wp14:editId="6D1BEB15">
            <wp:simplePos x="0" y="0"/>
            <wp:positionH relativeFrom="column">
              <wp:posOffset>-28575</wp:posOffset>
            </wp:positionH>
            <wp:positionV relativeFrom="paragraph">
              <wp:posOffset>-7620</wp:posOffset>
            </wp:positionV>
            <wp:extent cx="2162175" cy="723265"/>
            <wp:effectExtent l="0" t="0" r="0" b="0"/>
            <wp:wrapNone/>
            <wp:docPr id="1" name="Imagen 1" descr="4- iaip_horizontal_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4- iaip_horizontal_s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151" w:rsidRPr="00B437C2" w:rsidRDefault="00927151" w:rsidP="00927151">
      <w:pPr>
        <w:spacing w:line="240" w:lineRule="auto"/>
        <w:jc w:val="center"/>
        <w:rPr>
          <w:b/>
          <w:bCs/>
          <w:color w:val="002060"/>
          <w:sz w:val="24"/>
          <w:szCs w:val="24"/>
        </w:rPr>
      </w:pPr>
    </w:p>
    <w:p w:rsidR="00927151" w:rsidRPr="00927151" w:rsidRDefault="00927151" w:rsidP="00927151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927151" w:rsidRPr="00927151" w:rsidRDefault="00927151" w:rsidP="00927151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927151">
        <w:rPr>
          <w:rFonts w:ascii="Times New Roman" w:hAnsi="Times New Roman"/>
          <w:b/>
          <w:bCs/>
          <w:color w:val="002060"/>
          <w:sz w:val="24"/>
          <w:szCs w:val="24"/>
        </w:rPr>
        <w:t xml:space="preserve">NUE </w:t>
      </w:r>
      <w:r w:rsidR="00F72863">
        <w:rPr>
          <w:rFonts w:ascii="Times New Roman" w:hAnsi="Times New Roman"/>
          <w:b/>
          <w:bCs/>
          <w:color w:val="002060"/>
          <w:sz w:val="24"/>
          <w:szCs w:val="24"/>
        </w:rPr>
        <w:t>148</w:t>
      </w:r>
      <w:r w:rsidRPr="00927151">
        <w:rPr>
          <w:rFonts w:ascii="Times New Roman" w:hAnsi="Times New Roman"/>
          <w:b/>
          <w:bCs/>
          <w:color w:val="002060"/>
          <w:sz w:val="24"/>
          <w:szCs w:val="24"/>
        </w:rPr>
        <w:t>-A-201</w:t>
      </w:r>
      <w:r w:rsidR="00F72863">
        <w:rPr>
          <w:rFonts w:ascii="Times New Roman" w:hAnsi="Times New Roman"/>
          <w:b/>
          <w:bCs/>
          <w:color w:val="002060"/>
          <w:sz w:val="24"/>
          <w:szCs w:val="24"/>
        </w:rPr>
        <w:t>7</w:t>
      </w:r>
      <w:r w:rsidRPr="00927151">
        <w:rPr>
          <w:rFonts w:ascii="Times New Roman" w:hAnsi="Times New Roman"/>
          <w:b/>
          <w:bCs/>
          <w:color w:val="002060"/>
          <w:sz w:val="24"/>
          <w:szCs w:val="24"/>
        </w:rPr>
        <w:t xml:space="preserve"> </w:t>
      </w:r>
    </w:p>
    <w:p w:rsidR="00927151" w:rsidRPr="00927151" w:rsidRDefault="00927151" w:rsidP="00927151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927151">
        <w:rPr>
          <w:rFonts w:ascii="Times New Roman" w:hAnsi="Times New Roman"/>
          <w:b/>
          <w:bCs/>
          <w:color w:val="002060"/>
          <w:sz w:val="24"/>
          <w:szCs w:val="24"/>
        </w:rPr>
        <w:t xml:space="preserve">Trejo Jiménez contra </w:t>
      </w:r>
      <w:r w:rsidR="00F72863">
        <w:rPr>
          <w:rFonts w:ascii="Times New Roman" w:hAnsi="Times New Roman"/>
          <w:b/>
          <w:bCs/>
          <w:color w:val="002060"/>
          <w:sz w:val="24"/>
          <w:szCs w:val="24"/>
        </w:rPr>
        <w:t>Ministerio de Hacienda (MH)</w:t>
      </w:r>
    </w:p>
    <w:p w:rsidR="00927151" w:rsidRPr="00927151" w:rsidRDefault="00927151" w:rsidP="00927151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  <w:proofErr w:type="spellStart"/>
      <w:r w:rsidRPr="00927151">
        <w:rPr>
          <w:rFonts w:ascii="Times New Roman" w:hAnsi="Times New Roman"/>
          <w:b/>
          <w:bCs/>
          <w:color w:val="002060"/>
          <w:sz w:val="24"/>
          <w:szCs w:val="24"/>
        </w:rPr>
        <w:t>Improponibilidad</w:t>
      </w:r>
      <w:proofErr w:type="spellEnd"/>
    </w:p>
    <w:p w:rsidR="00927151" w:rsidRPr="00B437C2" w:rsidRDefault="00927151" w:rsidP="00927151">
      <w:pPr>
        <w:spacing w:after="0" w:line="360" w:lineRule="auto"/>
        <w:jc w:val="center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927151" w:rsidRPr="00B437C2" w:rsidRDefault="00927151" w:rsidP="009271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37C2">
        <w:rPr>
          <w:rFonts w:ascii="Times New Roman" w:hAnsi="Times New Roman"/>
          <w:b/>
          <w:bCs/>
          <w:sz w:val="24"/>
          <w:szCs w:val="24"/>
        </w:rPr>
        <w:t>INSTITUTO DE ACCESO A LA INFORMACIÓN PÚBLICA</w:t>
      </w:r>
      <w:r w:rsidRPr="00B437C2">
        <w:rPr>
          <w:rFonts w:ascii="Times New Roman" w:hAnsi="Times New Roman"/>
          <w:sz w:val="24"/>
          <w:szCs w:val="24"/>
        </w:rPr>
        <w:t>:</w:t>
      </w:r>
      <w:r w:rsidRPr="00B437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437C2">
        <w:rPr>
          <w:rFonts w:ascii="Times New Roman" w:hAnsi="Times New Roman"/>
          <w:sz w:val="24"/>
          <w:szCs w:val="24"/>
        </w:rPr>
        <w:t xml:space="preserve">San Salvador, a las </w:t>
      </w:r>
      <w:r w:rsidR="00F72863">
        <w:rPr>
          <w:rFonts w:ascii="Times New Roman" w:hAnsi="Times New Roman"/>
          <w:sz w:val="24"/>
          <w:szCs w:val="24"/>
        </w:rPr>
        <w:t>diez</w:t>
      </w:r>
      <w:r w:rsidRPr="00B437C2">
        <w:rPr>
          <w:rFonts w:ascii="Times New Roman" w:hAnsi="Times New Roman"/>
          <w:sz w:val="24"/>
          <w:szCs w:val="24"/>
        </w:rPr>
        <w:t xml:space="preserve"> horas con </w:t>
      </w:r>
      <w:r w:rsidR="002956BF">
        <w:rPr>
          <w:rFonts w:ascii="Times New Roman" w:hAnsi="Times New Roman"/>
          <w:sz w:val="24"/>
          <w:szCs w:val="24"/>
        </w:rPr>
        <w:t>veintitrés</w:t>
      </w:r>
      <w:r w:rsidRPr="00B437C2">
        <w:rPr>
          <w:rFonts w:ascii="Times New Roman" w:hAnsi="Times New Roman"/>
          <w:sz w:val="24"/>
          <w:szCs w:val="24"/>
        </w:rPr>
        <w:t xml:space="preserve"> minutos del </w:t>
      </w:r>
      <w:r w:rsidR="00A72E8E">
        <w:rPr>
          <w:rFonts w:ascii="Times New Roman" w:hAnsi="Times New Roman"/>
          <w:sz w:val="24"/>
          <w:szCs w:val="24"/>
        </w:rPr>
        <w:t>quinc</w:t>
      </w:r>
      <w:r w:rsidR="00F72863">
        <w:rPr>
          <w:rFonts w:ascii="Times New Roman" w:hAnsi="Times New Roman"/>
          <w:sz w:val="24"/>
          <w:szCs w:val="24"/>
        </w:rPr>
        <w:t>e</w:t>
      </w:r>
      <w:r w:rsidR="008A4927" w:rsidRPr="00B437C2">
        <w:rPr>
          <w:rFonts w:ascii="Times New Roman" w:hAnsi="Times New Roman"/>
          <w:sz w:val="24"/>
          <w:szCs w:val="24"/>
        </w:rPr>
        <w:t xml:space="preserve"> </w:t>
      </w:r>
      <w:r w:rsidRPr="00B437C2">
        <w:rPr>
          <w:rFonts w:ascii="Times New Roman" w:hAnsi="Times New Roman"/>
          <w:sz w:val="24"/>
          <w:szCs w:val="24"/>
        </w:rPr>
        <w:t xml:space="preserve">de </w:t>
      </w:r>
      <w:r w:rsidR="00F72863">
        <w:rPr>
          <w:rFonts w:ascii="Times New Roman" w:hAnsi="Times New Roman"/>
          <w:sz w:val="24"/>
          <w:szCs w:val="24"/>
        </w:rPr>
        <w:t>mayo</w:t>
      </w:r>
      <w:r w:rsidRPr="00B437C2">
        <w:rPr>
          <w:rFonts w:ascii="Times New Roman" w:hAnsi="Times New Roman"/>
          <w:sz w:val="24"/>
          <w:szCs w:val="24"/>
        </w:rPr>
        <w:t xml:space="preserve"> de dos mil </w:t>
      </w:r>
      <w:r w:rsidR="00F72863">
        <w:rPr>
          <w:rFonts w:ascii="Times New Roman" w:hAnsi="Times New Roman"/>
          <w:sz w:val="24"/>
          <w:szCs w:val="24"/>
        </w:rPr>
        <w:t>diecisiete</w:t>
      </w:r>
      <w:r w:rsidRPr="00B437C2">
        <w:rPr>
          <w:rFonts w:ascii="Times New Roman" w:hAnsi="Times New Roman"/>
          <w:sz w:val="24"/>
          <w:szCs w:val="24"/>
        </w:rPr>
        <w:t xml:space="preserve">. </w:t>
      </w:r>
    </w:p>
    <w:p w:rsidR="002956BF" w:rsidRDefault="00927151" w:rsidP="009271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37C2">
        <w:rPr>
          <w:rFonts w:ascii="Times New Roman" w:hAnsi="Times New Roman"/>
          <w:sz w:val="24"/>
          <w:szCs w:val="24"/>
        </w:rPr>
        <w:tab/>
      </w:r>
      <w:r w:rsidR="002956BF">
        <w:rPr>
          <w:rFonts w:ascii="Times New Roman" w:hAnsi="Times New Roman"/>
          <w:b/>
          <w:sz w:val="24"/>
          <w:szCs w:val="24"/>
        </w:rPr>
        <w:t>Hugo Arnoldo Trejo Jiménez</w:t>
      </w:r>
      <w:r w:rsidRPr="00B437C2">
        <w:rPr>
          <w:rFonts w:ascii="Times New Roman" w:hAnsi="Times New Roman"/>
          <w:sz w:val="24"/>
          <w:szCs w:val="24"/>
        </w:rPr>
        <w:t xml:space="preserve"> </w:t>
      </w:r>
      <w:r w:rsidR="008A4927">
        <w:rPr>
          <w:rFonts w:ascii="Times New Roman" w:hAnsi="Times New Roman"/>
          <w:sz w:val="24"/>
          <w:szCs w:val="24"/>
        </w:rPr>
        <w:t>apeló de</w:t>
      </w:r>
      <w:r w:rsidR="002956BF">
        <w:rPr>
          <w:rFonts w:ascii="Times New Roman" w:hAnsi="Times New Roman"/>
          <w:sz w:val="24"/>
          <w:szCs w:val="24"/>
        </w:rPr>
        <w:t xml:space="preserve"> la resolución emitida por el</w:t>
      </w:r>
      <w:r w:rsidRPr="00B437C2">
        <w:rPr>
          <w:rFonts w:ascii="Times New Roman" w:hAnsi="Times New Roman"/>
          <w:sz w:val="24"/>
          <w:szCs w:val="24"/>
        </w:rPr>
        <w:t xml:space="preserve"> Oficial de Información </w:t>
      </w:r>
      <w:r w:rsidR="00F72863">
        <w:rPr>
          <w:rFonts w:ascii="Times New Roman" w:hAnsi="Times New Roman"/>
          <w:sz w:val="24"/>
          <w:szCs w:val="24"/>
        </w:rPr>
        <w:t xml:space="preserve">del </w:t>
      </w:r>
      <w:r w:rsidR="00F72863">
        <w:rPr>
          <w:rFonts w:ascii="Times New Roman" w:hAnsi="Times New Roman"/>
          <w:b/>
          <w:sz w:val="24"/>
          <w:szCs w:val="24"/>
        </w:rPr>
        <w:t>Ministerio de Hacienda (MH</w:t>
      </w:r>
      <w:r w:rsidR="00AC7A47">
        <w:rPr>
          <w:rFonts w:ascii="Times New Roman" w:hAnsi="Times New Roman"/>
          <w:b/>
          <w:sz w:val="24"/>
          <w:szCs w:val="24"/>
        </w:rPr>
        <w:t>)</w:t>
      </w:r>
      <w:r w:rsidR="008A4927">
        <w:rPr>
          <w:rFonts w:ascii="Times New Roman" w:hAnsi="Times New Roman"/>
          <w:sz w:val="24"/>
          <w:szCs w:val="24"/>
        </w:rPr>
        <w:t>, en la que denegó la información consistente en:</w:t>
      </w:r>
      <w:r w:rsidR="002956BF">
        <w:rPr>
          <w:rFonts w:ascii="Times New Roman" w:hAnsi="Times New Roman"/>
          <w:sz w:val="24"/>
          <w:szCs w:val="24"/>
        </w:rPr>
        <w:t xml:space="preserve"> </w:t>
      </w:r>
      <w:r w:rsidRPr="00B437C2">
        <w:rPr>
          <w:rFonts w:ascii="Times New Roman" w:hAnsi="Times New Roman"/>
          <w:sz w:val="24"/>
          <w:szCs w:val="24"/>
        </w:rPr>
        <w:t>“</w:t>
      </w:r>
      <w:r w:rsidR="00F72863">
        <w:rPr>
          <w:rFonts w:ascii="Times New Roman" w:hAnsi="Times New Roman"/>
          <w:sz w:val="24"/>
          <w:szCs w:val="24"/>
        </w:rPr>
        <w:t>Carta de recomendación de mi desempeño como auditor de Secretaría de Estado, período 1997 al 2002; firmada por el Ministro de Hacienda actual y en función pública</w:t>
      </w:r>
      <w:r w:rsidR="002956BF">
        <w:rPr>
          <w:rFonts w:ascii="Times New Roman" w:hAnsi="Times New Roman"/>
          <w:sz w:val="24"/>
          <w:szCs w:val="24"/>
        </w:rPr>
        <w:t xml:space="preserve">”. </w:t>
      </w:r>
    </w:p>
    <w:p w:rsidR="00AC7A47" w:rsidRPr="00AC7A47" w:rsidRDefault="002956BF" w:rsidP="001711B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</w:t>
      </w:r>
      <w:r w:rsidR="00927151" w:rsidRPr="00B437C2">
        <w:rPr>
          <w:rFonts w:ascii="Times New Roman" w:hAnsi="Times New Roman"/>
          <w:sz w:val="24"/>
          <w:szCs w:val="24"/>
        </w:rPr>
        <w:t xml:space="preserve"> Oficial de Información del ente obligado, </w:t>
      </w:r>
      <w:r w:rsidR="00F72863">
        <w:rPr>
          <w:rFonts w:ascii="Times New Roman" w:hAnsi="Times New Roman"/>
          <w:sz w:val="24"/>
          <w:szCs w:val="24"/>
        </w:rPr>
        <w:t xml:space="preserve">declaró no admisible la solicitud, ya que </w:t>
      </w:r>
      <w:proofErr w:type="gramStart"/>
      <w:r w:rsidR="00F72863">
        <w:rPr>
          <w:rFonts w:ascii="Times New Roman" w:hAnsi="Times New Roman"/>
          <w:sz w:val="24"/>
          <w:szCs w:val="24"/>
        </w:rPr>
        <w:t>en</w:t>
      </w:r>
      <w:proofErr w:type="gramEnd"/>
      <w:r w:rsidR="00F72863">
        <w:rPr>
          <w:rFonts w:ascii="Times New Roman" w:hAnsi="Times New Roman"/>
          <w:sz w:val="24"/>
          <w:szCs w:val="24"/>
        </w:rPr>
        <w:t xml:space="preserve"> su resolución manifestó que lo requerido no constituye información pública.</w:t>
      </w:r>
      <w:r w:rsidR="00A72E8E">
        <w:rPr>
          <w:rFonts w:ascii="Times New Roman" w:hAnsi="Times New Roman"/>
          <w:sz w:val="24"/>
          <w:szCs w:val="24"/>
        </w:rPr>
        <w:t xml:space="preserve"> </w:t>
      </w:r>
      <w:r w:rsidR="00F72863">
        <w:rPr>
          <w:rFonts w:ascii="Times New Roman" w:hAnsi="Times New Roman"/>
          <w:sz w:val="24"/>
          <w:szCs w:val="24"/>
        </w:rPr>
        <w:t>El apelante, por su parte, solicita que se le entregue dicha información.</w:t>
      </w:r>
    </w:p>
    <w:p w:rsidR="00927151" w:rsidRPr="00B437C2" w:rsidRDefault="009229CC" w:rsidP="00927151">
      <w:pPr>
        <w:spacing w:before="24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 como se hizo en el caso conocido por este </w:t>
      </w:r>
      <w:r w:rsidR="00927151" w:rsidRPr="00B437C2">
        <w:rPr>
          <w:rFonts w:ascii="Times New Roman" w:hAnsi="Times New Roman"/>
          <w:sz w:val="24"/>
          <w:szCs w:val="24"/>
        </w:rPr>
        <w:t>Instituto</w:t>
      </w:r>
      <w:r>
        <w:rPr>
          <w:rFonts w:ascii="Times New Roman" w:hAnsi="Times New Roman"/>
          <w:sz w:val="24"/>
          <w:szCs w:val="24"/>
        </w:rPr>
        <w:t>, con referencia 135-A-2015,</w:t>
      </w:r>
      <w:r w:rsidR="00927151" w:rsidRPr="00B437C2">
        <w:rPr>
          <w:rFonts w:ascii="Times New Roman" w:hAnsi="Times New Roman"/>
          <w:sz w:val="24"/>
          <w:szCs w:val="24"/>
        </w:rPr>
        <w:t xml:space="preserve"> </w:t>
      </w:r>
      <w:r w:rsidR="008A4927">
        <w:rPr>
          <w:rFonts w:ascii="Times New Roman" w:hAnsi="Times New Roman"/>
          <w:sz w:val="24"/>
          <w:szCs w:val="24"/>
        </w:rPr>
        <w:t xml:space="preserve">se </w:t>
      </w:r>
      <w:r w:rsidR="008A4927" w:rsidRPr="00B437C2">
        <w:rPr>
          <w:rFonts w:ascii="Times New Roman" w:hAnsi="Times New Roman"/>
          <w:sz w:val="24"/>
          <w:szCs w:val="24"/>
        </w:rPr>
        <w:t>valor</w:t>
      </w:r>
      <w:r w:rsidR="008A4927">
        <w:rPr>
          <w:rFonts w:ascii="Times New Roman" w:hAnsi="Times New Roman"/>
          <w:sz w:val="24"/>
          <w:szCs w:val="24"/>
        </w:rPr>
        <w:t>ó</w:t>
      </w:r>
      <w:r w:rsidR="008A4927" w:rsidRPr="00B437C2">
        <w:rPr>
          <w:rFonts w:ascii="Times New Roman" w:hAnsi="Times New Roman"/>
          <w:sz w:val="24"/>
          <w:szCs w:val="24"/>
        </w:rPr>
        <w:t xml:space="preserve"> </w:t>
      </w:r>
      <w:r w:rsidR="00927151" w:rsidRPr="00B437C2">
        <w:rPr>
          <w:rFonts w:ascii="Times New Roman" w:hAnsi="Times New Roman"/>
          <w:sz w:val="24"/>
          <w:szCs w:val="24"/>
        </w:rPr>
        <w:t xml:space="preserve">el cumplimiento de los requisitos de </w:t>
      </w:r>
      <w:proofErr w:type="spellStart"/>
      <w:r w:rsidR="00927151" w:rsidRPr="00B437C2">
        <w:rPr>
          <w:rFonts w:ascii="Times New Roman" w:hAnsi="Times New Roman"/>
          <w:sz w:val="24"/>
          <w:szCs w:val="24"/>
        </w:rPr>
        <w:t>proponibilidad</w:t>
      </w:r>
      <w:proofErr w:type="spellEnd"/>
      <w:r w:rsidR="00927151" w:rsidRPr="00B437C2">
        <w:rPr>
          <w:rFonts w:ascii="Times New Roman" w:hAnsi="Times New Roman"/>
          <w:sz w:val="24"/>
          <w:szCs w:val="24"/>
        </w:rPr>
        <w:t xml:space="preserve"> del recurso, tomando en consideración los principios de celeridad, economía procesal, control y ordenación del proceso. </w:t>
      </w:r>
    </w:p>
    <w:p w:rsidR="00927151" w:rsidRPr="00B437C2" w:rsidRDefault="00927151" w:rsidP="00927151">
      <w:pPr>
        <w:spacing w:before="24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437C2">
        <w:rPr>
          <w:rFonts w:ascii="Times New Roman" w:hAnsi="Times New Roman"/>
          <w:b/>
          <w:sz w:val="24"/>
          <w:szCs w:val="24"/>
        </w:rPr>
        <w:t>I. Derecho de acceso a la información pública (DAIP)</w:t>
      </w:r>
    </w:p>
    <w:p w:rsidR="00927151" w:rsidRDefault="00927151" w:rsidP="00927151">
      <w:pPr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B437C2">
        <w:rPr>
          <w:rFonts w:ascii="Times New Roman" w:hAnsi="Times New Roman"/>
          <w:sz w:val="24"/>
          <w:szCs w:val="24"/>
        </w:rPr>
        <w:t>El Art. 2 de la LAIP, establece que toda persona tiene derecho a solicitar y recibir información generada, administrada o en poder de las instituciones públicas y demás entes obligados de manera oportuna y veraz, sin sustentar interés o motivación alguna. Es decir que, al tenor de la citada disposición, para ejercer el der</w:t>
      </w:r>
      <w:r>
        <w:rPr>
          <w:rFonts w:ascii="Times New Roman" w:hAnsi="Times New Roman"/>
          <w:sz w:val="24"/>
          <w:szCs w:val="24"/>
        </w:rPr>
        <w:t>echo de acceso a la información</w:t>
      </w:r>
      <w:r w:rsidRPr="00B437C2">
        <w:rPr>
          <w:rFonts w:ascii="Times New Roman" w:hAnsi="Times New Roman"/>
          <w:sz w:val="24"/>
          <w:szCs w:val="24"/>
        </w:rPr>
        <w:t xml:space="preserve"> es necesario que la información </w:t>
      </w:r>
      <w:r w:rsidRPr="00B437C2">
        <w:rPr>
          <w:rFonts w:ascii="Times New Roman" w:hAnsi="Times New Roman"/>
          <w:b/>
          <w:sz w:val="24"/>
          <w:szCs w:val="24"/>
        </w:rPr>
        <w:t xml:space="preserve">exista, haya sido generada, </w:t>
      </w:r>
      <w:r w:rsidR="000D0F5C">
        <w:rPr>
          <w:rFonts w:ascii="Times New Roman" w:hAnsi="Times New Roman"/>
          <w:b/>
          <w:sz w:val="24"/>
          <w:szCs w:val="24"/>
        </w:rPr>
        <w:t>administrada,</w:t>
      </w:r>
      <w:r w:rsidRPr="00B437C2">
        <w:rPr>
          <w:rFonts w:ascii="Times New Roman" w:hAnsi="Times New Roman"/>
          <w:b/>
          <w:sz w:val="24"/>
          <w:szCs w:val="24"/>
        </w:rPr>
        <w:t xml:space="preserve"> se encuentre en poder del ente obligado al que ha sido solicitada</w:t>
      </w:r>
      <w:r w:rsidR="000D0F5C">
        <w:rPr>
          <w:rFonts w:ascii="Times New Roman" w:hAnsi="Times New Roman"/>
          <w:b/>
          <w:sz w:val="24"/>
          <w:szCs w:val="24"/>
        </w:rPr>
        <w:t xml:space="preserve"> o que exista un mandato normativo de generarla</w:t>
      </w:r>
      <w:r w:rsidRPr="00B437C2">
        <w:rPr>
          <w:rFonts w:ascii="Times New Roman" w:hAnsi="Times New Roman"/>
          <w:sz w:val="24"/>
          <w:szCs w:val="24"/>
        </w:rPr>
        <w:t xml:space="preserve">. En ese orden de ideas, de conformidad con el Art. 6 letra “c” de la LAIP, la </w:t>
      </w:r>
      <w:r w:rsidRPr="00B437C2">
        <w:rPr>
          <w:rFonts w:ascii="Times New Roman" w:hAnsi="Times New Roman"/>
          <w:sz w:val="24"/>
          <w:szCs w:val="24"/>
        </w:rPr>
        <w:lastRenderedPageBreak/>
        <w:t xml:space="preserve">información pública es aquella </w:t>
      </w:r>
      <w:r w:rsidRPr="00B437C2">
        <w:rPr>
          <w:rFonts w:ascii="Times New Roman" w:hAnsi="Times New Roman"/>
          <w:sz w:val="24"/>
          <w:szCs w:val="24"/>
          <w:u w:val="single"/>
        </w:rPr>
        <w:t>en poder</w:t>
      </w:r>
      <w:r w:rsidRPr="00B437C2">
        <w:rPr>
          <w:rFonts w:ascii="Times New Roman" w:hAnsi="Times New Roman"/>
          <w:sz w:val="24"/>
          <w:szCs w:val="24"/>
        </w:rPr>
        <w:t xml:space="preserve"> de los entes obligados contenida en archivos, datos, bases de datos, comunicaciones y todo tipo de registros que documenten el ejercicio de sus facultades o actividades, que consten en cualquier medio, ya sea impreso, óptico o electrónico. </w:t>
      </w:r>
    </w:p>
    <w:p w:rsidR="00586CBF" w:rsidRDefault="0021151D" w:rsidP="00927151">
      <w:pPr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Falta de competencia objetiva</w:t>
      </w:r>
    </w:p>
    <w:p w:rsidR="003626A3" w:rsidRDefault="003626A3" w:rsidP="00927151">
      <w:pPr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 Código Procesal Civil y Mercantil</w:t>
      </w:r>
      <w:r w:rsidR="00144560">
        <w:rPr>
          <w:rFonts w:ascii="Times New Roman" w:hAnsi="Times New Roman"/>
          <w:sz w:val="24"/>
          <w:szCs w:val="24"/>
        </w:rPr>
        <w:t>, en su artículo 37,</w:t>
      </w:r>
      <w:r>
        <w:rPr>
          <w:rFonts w:ascii="Times New Roman" w:hAnsi="Times New Roman"/>
          <w:sz w:val="24"/>
          <w:szCs w:val="24"/>
        </w:rPr>
        <w:t xml:space="preserve"> dispone que la competencia objetiva será determinada por la materia a conocer, es decir, para el presente caso, la materia a conocer es </w:t>
      </w:r>
      <w:r w:rsidR="00144560">
        <w:rPr>
          <w:rFonts w:ascii="Times New Roman" w:hAnsi="Times New Roman"/>
          <w:sz w:val="24"/>
          <w:szCs w:val="24"/>
        </w:rPr>
        <w:t>el acceso a la información pública. En este sentido, se puede afirmar que es indispensable que el recurso interpuesto verse sobre acceso a la información pública para que este Instituto sea competente para conocer.</w:t>
      </w:r>
    </w:p>
    <w:p w:rsidR="0021151D" w:rsidRDefault="00144560" w:rsidP="00927151">
      <w:pPr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 ello, se debe aclarar que la</w:t>
      </w:r>
      <w:r w:rsidR="00563F6A">
        <w:rPr>
          <w:rFonts w:ascii="Times New Roman" w:hAnsi="Times New Roman"/>
          <w:sz w:val="24"/>
          <w:szCs w:val="24"/>
        </w:rPr>
        <w:t xml:space="preserve"> principal competencia</w:t>
      </w:r>
      <w:r w:rsidR="0021151D">
        <w:rPr>
          <w:rFonts w:ascii="Times New Roman" w:hAnsi="Times New Roman"/>
          <w:sz w:val="24"/>
          <w:szCs w:val="24"/>
        </w:rPr>
        <w:t xml:space="preserve"> de este Instituto es velar por la correcta interpretación y aplicación de la Ley de Acceso a la Información Pública (LAIP); en este sentido, es importante señalar que el objeto de la LAIP se reduce a garantizar el Derecho de Acceso de toda persona a la información pública, tal como lo establece el art. 2 de dicho cuerpo normativo.</w:t>
      </w:r>
    </w:p>
    <w:p w:rsidR="0021151D" w:rsidRDefault="0021151D" w:rsidP="00927151">
      <w:pPr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Por lo tanto, </w:t>
      </w:r>
      <w:r w:rsidR="00563F6A">
        <w:rPr>
          <w:rFonts w:ascii="Times New Roman" w:hAnsi="Times New Roman"/>
          <w:sz w:val="24"/>
          <w:szCs w:val="24"/>
        </w:rPr>
        <w:t>si bien este Instituto es el ente creado por Ley para dirimir controversias entre los entes obligados y la población en general, dichas controversias deben versar sobre temas de acceso a la información pública para que se active la competencia objetiva y así conocer de los casos que se presentan en esta instancia.</w:t>
      </w:r>
    </w:p>
    <w:p w:rsidR="003626A3" w:rsidRPr="00563F6A" w:rsidRDefault="00563F6A" w:rsidP="00927151">
      <w:pPr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Por ello, es importante analizar el objeto del presente recurso interpuesto por el ciudadano </w:t>
      </w:r>
      <w:r>
        <w:rPr>
          <w:rFonts w:ascii="Times New Roman" w:hAnsi="Times New Roman"/>
          <w:b/>
          <w:sz w:val="24"/>
          <w:szCs w:val="24"/>
        </w:rPr>
        <w:t>Hugo Arnoldo Trejo Jiménez</w:t>
      </w:r>
      <w:r w:rsidR="00D40159">
        <w:rPr>
          <w:rFonts w:ascii="Times New Roman" w:hAnsi="Times New Roman"/>
          <w:sz w:val="24"/>
          <w:szCs w:val="24"/>
        </w:rPr>
        <w:t xml:space="preserve">, ya que es un presupuesto necesario para que este Instituto conozca el fondo del asunto. </w:t>
      </w:r>
      <w:r w:rsidR="003626A3">
        <w:rPr>
          <w:rFonts w:ascii="Times New Roman" w:hAnsi="Times New Roman"/>
          <w:sz w:val="24"/>
          <w:szCs w:val="24"/>
        </w:rPr>
        <w:t xml:space="preserve">En consecuencia, al haber establecido que información pública es toda </w:t>
      </w:r>
      <w:r w:rsidR="003626A3" w:rsidRPr="00B437C2">
        <w:rPr>
          <w:rFonts w:ascii="Times New Roman" w:hAnsi="Times New Roman"/>
          <w:sz w:val="24"/>
          <w:szCs w:val="24"/>
        </w:rPr>
        <w:t xml:space="preserve">aquella </w:t>
      </w:r>
      <w:r w:rsidR="003626A3" w:rsidRPr="00B437C2">
        <w:rPr>
          <w:rFonts w:ascii="Times New Roman" w:hAnsi="Times New Roman"/>
          <w:sz w:val="24"/>
          <w:szCs w:val="24"/>
          <w:u w:val="single"/>
        </w:rPr>
        <w:t>en poder</w:t>
      </w:r>
      <w:r w:rsidR="003626A3" w:rsidRPr="00B437C2">
        <w:rPr>
          <w:rFonts w:ascii="Times New Roman" w:hAnsi="Times New Roman"/>
          <w:sz w:val="24"/>
          <w:szCs w:val="24"/>
        </w:rPr>
        <w:t xml:space="preserve"> de los entes obligados contenida en archivos, datos, bases de datos, comunicaciones y todo tipo de registros que documenten el ejercicio de sus facultades o actividades, que consten en cualquier medio, ya sea impreso, óptico o electrónico</w:t>
      </w:r>
      <w:r w:rsidR="003626A3">
        <w:rPr>
          <w:rFonts w:ascii="Times New Roman" w:hAnsi="Times New Roman"/>
          <w:sz w:val="24"/>
          <w:szCs w:val="24"/>
        </w:rPr>
        <w:t xml:space="preserve">; se puede evidenciar que lo solicitado por el ciudadano no cumple con las características de información pública; y, por lo tanto, este Instituto se reconoce incompetente </w:t>
      </w:r>
      <w:r w:rsidR="00144560">
        <w:rPr>
          <w:rFonts w:ascii="Times New Roman" w:hAnsi="Times New Roman"/>
          <w:sz w:val="24"/>
          <w:szCs w:val="24"/>
        </w:rPr>
        <w:t xml:space="preserve">en razón de la materia </w:t>
      </w:r>
      <w:r w:rsidR="003626A3">
        <w:rPr>
          <w:rFonts w:ascii="Times New Roman" w:hAnsi="Times New Roman"/>
          <w:sz w:val="24"/>
          <w:szCs w:val="24"/>
        </w:rPr>
        <w:t>para conocer sobre el recurso interpuesto.</w:t>
      </w:r>
    </w:p>
    <w:p w:rsidR="00927151" w:rsidRPr="00B437C2" w:rsidRDefault="00144560" w:rsidP="00927151">
      <w:pPr>
        <w:spacing w:before="240"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En consecuencia, d</w:t>
      </w:r>
      <w:r w:rsidR="00927151" w:rsidRPr="00B437C2">
        <w:rPr>
          <w:rFonts w:ascii="Times New Roman" w:hAnsi="Times New Roman"/>
          <w:sz w:val="24"/>
          <w:szCs w:val="24"/>
        </w:rPr>
        <w:t>e conformidad con lo antes expuesto y con base en los artículos 6 y 18 de la Constitución de la República, 82, 86</w:t>
      </w:r>
      <w:r w:rsidR="008A4927">
        <w:rPr>
          <w:rFonts w:ascii="Times New Roman" w:hAnsi="Times New Roman"/>
          <w:sz w:val="24"/>
          <w:szCs w:val="24"/>
        </w:rPr>
        <w:t>,</w:t>
      </w:r>
      <w:r w:rsidR="00927151" w:rsidRPr="00B437C2">
        <w:rPr>
          <w:rFonts w:ascii="Times New Roman" w:hAnsi="Times New Roman"/>
          <w:sz w:val="24"/>
          <w:szCs w:val="24"/>
        </w:rPr>
        <w:t xml:space="preserve"> 87</w:t>
      </w:r>
      <w:r w:rsidR="008A4927">
        <w:rPr>
          <w:rFonts w:ascii="Times New Roman" w:hAnsi="Times New Roman"/>
          <w:sz w:val="24"/>
          <w:szCs w:val="24"/>
        </w:rPr>
        <w:t>, 102</w:t>
      </w:r>
      <w:r w:rsidR="00927151" w:rsidRPr="00B437C2">
        <w:rPr>
          <w:rFonts w:ascii="Times New Roman" w:hAnsi="Times New Roman"/>
          <w:sz w:val="24"/>
          <w:szCs w:val="24"/>
        </w:rPr>
        <w:t xml:space="preserve"> de la LAIP</w:t>
      </w:r>
      <w:r w:rsidR="008A4927">
        <w:rPr>
          <w:rFonts w:ascii="Times New Roman" w:hAnsi="Times New Roman"/>
          <w:sz w:val="24"/>
          <w:szCs w:val="24"/>
        </w:rPr>
        <w:t>, 20</w:t>
      </w:r>
      <w:r w:rsidR="00A72E8E">
        <w:rPr>
          <w:rFonts w:ascii="Times New Roman" w:hAnsi="Times New Roman"/>
          <w:sz w:val="24"/>
          <w:szCs w:val="24"/>
        </w:rPr>
        <w:t>, 37</w:t>
      </w:r>
      <w:r w:rsidR="008A4927">
        <w:rPr>
          <w:rFonts w:ascii="Times New Roman" w:hAnsi="Times New Roman"/>
          <w:sz w:val="24"/>
          <w:szCs w:val="24"/>
        </w:rPr>
        <w:t xml:space="preserve"> y 277 del Código Procesal Civil y Mercantil (CPCM)</w:t>
      </w:r>
      <w:r w:rsidR="00927151" w:rsidRPr="00B437C2">
        <w:rPr>
          <w:rFonts w:ascii="Times New Roman" w:hAnsi="Times New Roman"/>
          <w:sz w:val="24"/>
          <w:szCs w:val="24"/>
        </w:rPr>
        <w:t xml:space="preserve">, este Instituto </w:t>
      </w:r>
      <w:r w:rsidR="00927151" w:rsidRPr="00B437C2">
        <w:rPr>
          <w:rFonts w:ascii="Times New Roman" w:hAnsi="Times New Roman"/>
          <w:b/>
          <w:sz w:val="24"/>
          <w:szCs w:val="24"/>
        </w:rPr>
        <w:t>resuelve:</w:t>
      </w:r>
    </w:p>
    <w:p w:rsidR="00927151" w:rsidRPr="00B437C2" w:rsidRDefault="00927151" w:rsidP="00927151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437C2">
        <w:rPr>
          <w:rFonts w:ascii="Times New Roman" w:hAnsi="Times New Roman"/>
          <w:b/>
          <w:sz w:val="24"/>
          <w:szCs w:val="24"/>
        </w:rPr>
        <w:t xml:space="preserve">a) </w:t>
      </w:r>
      <w:r>
        <w:rPr>
          <w:rFonts w:ascii="Times New Roman" w:hAnsi="Times New Roman"/>
          <w:b/>
          <w:sz w:val="24"/>
          <w:szCs w:val="24"/>
        </w:rPr>
        <w:t>Declarar</w:t>
      </w:r>
      <w:r w:rsidRPr="00B437C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437C2">
        <w:rPr>
          <w:rFonts w:ascii="Times New Roman" w:hAnsi="Times New Roman"/>
          <w:b/>
          <w:sz w:val="24"/>
          <w:szCs w:val="24"/>
        </w:rPr>
        <w:t>improponible</w:t>
      </w:r>
      <w:proofErr w:type="spellEnd"/>
      <w:r w:rsidRPr="00B437C2">
        <w:rPr>
          <w:rFonts w:ascii="Times New Roman" w:hAnsi="Times New Roman"/>
          <w:i/>
          <w:sz w:val="24"/>
          <w:szCs w:val="24"/>
        </w:rPr>
        <w:t xml:space="preserve"> </w:t>
      </w:r>
      <w:r w:rsidRPr="00B437C2">
        <w:rPr>
          <w:rFonts w:ascii="Times New Roman" w:hAnsi="Times New Roman"/>
          <w:sz w:val="24"/>
          <w:szCs w:val="24"/>
        </w:rPr>
        <w:t xml:space="preserve">el recurso de apelación interpuesto por </w:t>
      </w:r>
      <w:r w:rsidR="000D0F5C">
        <w:rPr>
          <w:rFonts w:ascii="Times New Roman" w:hAnsi="Times New Roman"/>
          <w:b/>
          <w:sz w:val="24"/>
          <w:szCs w:val="24"/>
        </w:rPr>
        <w:t>Hugo Arnoldo Trejo Jiménez</w:t>
      </w:r>
      <w:r w:rsidRPr="00B437C2">
        <w:rPr>
          <w:rFonts w:ascii="Times New Roman" w:hAnsi="Times New Roman"/>
          <w:b/>
          <w:sz w:val="24"/>
          <w:szCs w:val="24"/>
        </w:rPr>
        <w:t xml:space="preserve"> </w:t>
      </w:r>
      <w:r w:rsidRPr="00B437C2">
        <w:rPr>
          <w:rFonts w:ascii="Times New Roman" w:hAnsi="Times New Roman"/>
          <w:sz w:val="24"/>
          <w:szCs w:val="24"/>
        </w:rPr>
        <w:t xml:space="preserve">en contra de </w:t>
      </w:r>
      <w:r w:rsidR="0047172A">
        <w:rPr>
          <w:rFonts w:ascii="Times New Roman" w:hAnsi="Times New Roman"/>
          <w:sz w:val="24"/>
          <w:szCs w:val="24"/>
        </w:rPr>
        <w:t>lo resuelto por el</w:t>
      </w:r>
      <w:r w:rsidRPr="00B437C2">
        <w:rPr>
          <w:rFonts w:ascii="Times New Roman" w:hAnsi="Times New Roman"/>
          <w:sz w:val="24"/>
          <w:szCs w:val="24"/>
        </w:rPr>
        <w:t xml:space="preserve"> Oficial de Información </w:t>
      </w:r>
      <w:r w:rsidR="00144560">
        <w:rPr>
          <w:rFonts w:ascii="Times New Roman" w:hAnsi="Times New Roman"/>
          <w:sz w:val="24"/>
          <w:szCs w:val="24"/>
        </w:rPr>
        <w:t xml:space="preserve">del </w:t>
      </w:r>
      <w:r w:rsidR="00144560">
        <w:rPr>
          <w:rFonts w:ascii="Times New Roman" w:hAnsi="Times New Roman"/>
          <w:b/>
          <w:sz w:val="24"/>
          <w:szCs w:val="24"/>
        </w:rPr>
        <w:t>Ministerio de Hacienda (MH</w:t>
      </w:r>
      <w:r w:rsidR="0047172A">
        <w:rPr>
          <w:rFonts w:ascii="Times New Roman" w:hAnsi="Times New Roman"/>
          <w:b/>
          <w:sz w:val="24"/>
          <w:szCs w:val="24"/>
        </w:rPr>
        <w:t>)</w:t>
      </w:r>
      <w:r w:rsidRPr="00B437C2">
        <w:rPr>
          <w:rFonts w:ascii="Times New Roman" w:hAnsi="Times New Roman"/>
          <w:b/>
          <w:sz w:val="24"/>
          <w:szCs w:val="24"/>
        </w:rPr>
        <w:t>.</w:t>
      </w:r>
    </w:p>
    <w:p w:rsidR="00927151" w:rsidRDefault="00927151" w:rsidP="00927151">
      <w:pPr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437C2">
        <w:rPr>
          <w:rFonts w:ascii="Times New Roman" w:eastAsiaTheme="minorHAnsi" w:hAnsi="Times New Roman" w:cstheme="minorBidi"/>
          <w:b/>
          <w:sz w:val="24"/>
          <w:szCs w:val="24"/>
        </w:rPr>
        <w:t xml:space="preserve">b) </w:t>
      </w:r>
      <w:r w:rsidRPr="00B437C2">
        <w:rPr>
          <w:rFonts w:ascii="Times New Roman" w:eastAsia="Times New Roman" w:hAnsi="Times New Roman" w:cstheme="minorBidi"/>
          <w:b/>
          <w:sz w:val="24"/>
          <w:szCs w:val="24"/>
        </w:rPr>
        <w:t>Notif</w:t>
      </w:r>
      <w:r>
        <w:rPr>
          <w:rFonts w:ascii="Times New Roman" w:eastAsia="Times New Roman" w:hAnsi="Times New Roman" w:cstheme="minorBidi"/>
          <w:b/>
          <w:sz w:val="24"/>
          <w:szCs w:val="24"/>
        </w:rPr>
        <w:t>icar</w:t>
      </w:r>
      <w:r w:rsidRPr="00B437C2">
        <w:rPr>
          <w:rFonts w:ascii="Times New Roman" w:eastAsia="Times New Roman" w:hAnsi="Times New Roman" w:cstheme="minorBidi"/>
          <w:sz w:val="24"/>
          <w:szCs w:val="24"/>
        </w:rPr>
        <w:t xml:space="preserve"> </w:t>
      </w:r>
      <w:r w:rsidRPr="00B437C2">
        <w:rPr>
          <w:rFonts w:ascii="Times New Roman" w:eastAsiaTheme="minorHAnsi" w:hAnsi="Times New Roman"/>
          <w:sz w:val="24"/>
          <w:szCs w:val="24"/>
        </w:rPr>
        <w:t xml:space="preserve">esta resolución al apelante </w:t>
      </w:r>
      <w:r w:rsidR="0047172A">
        <w:rPr>
          <w:rFonts w:ascii="Times New Roman" w:eastAsiaTheme="minorHAnsi" w:hAnsi="Times New Roman"/>
          <w:sz w:val="24"/>
          <w:szCs w:val="24"/>
        </w:rPr>
        <w:t xml:space="preserve">a la dirección de correo electrónico: </w:t>
      </w:r>
      <w:r w:rsidR="006E616C" w:rsidRPr="006E616C">
        <w:rPr>
          <w:rFonts w:ascii="Times New Roman" w:eastAsiaTheme="minorHAnsi" w:hAnsi="Times New Roman"/>
          <w:b/>
          <w:color w:val="000000" w:themeColor="text1"/>
          <w:sz w:val="24"/>
          <w:szCs w:val="24"/>
          <w:shd w:val="clear" w:color="auto" w:fill="000000" w:themeFill="text1"/>
        </w:rPr>
        <w:t>XXXXXXXXXXXXXXX</w:t>
      </w:r>
      <w:r w:rsidR="00A72E8E" w:rsidRPr="00B437C2">
        <w:rPr>
          <w:rFonts w:ascii="Times New Roman" w:eastAsiaTheme="minorHAnsi" w:hAnsi="Times New Roman"/>
          <w:sz w:val="24"/>
          <w:szCs w:val="24"/>
        </w:rPr>
        <w:t>;</w:t>
      </w:r>
      <w:r w:rsidR="00A72E8E">
        <w:rPr>
          <w:rFonts w:ascii="Times New Roman" w:eastAsiaTheme="minorHAnsi" w:hAnsi="Times New Roman"/>
          <w:sz w:val="24"/>
          <w:szCs w:val="24"/>
        </w:rPr>
        <w:t xml:space="preserve"> </w:t>
      </w:r>
      <w:r w:rsidR="00A72E8E" w:rsidRPr="00B437C2">
        <w:rPr>
          <w:rFonts w:ascii="Times New Roman" w:eastAsiaTheme="minorHAnsi" w:hAnsi="Times New Roman"/>
          <w:color w:val="000000" w:themeColor="text1"/>
          <w:sz w:val="24"/>
          <w:szCs w:val="24"/>
        </w:rPr>
        <w:t>dejándose</w:t>
      </w:r>
      <w:r w:rsidRPr="00B437C2">
        <w:rPr>
          <w:rFonts w:ascii="Times New Roman" w:eastAsiaTheme="minorHAnsi" w:hAnsi="Times New Roman"/>
          <w:sz w:val="24"/>
          <w:szCs w:val="24"/>
        </w:rPr>
        <w:t xml:space="preserve"> constancia impresa, de haberse realizado la notificación.</w:t>
      </w:r>
    </w:p>
    <w:p w:rsidR="00927151" w:rsidRPr="00B437C2" w:rsidRDefault="00927151" w:rsidP="009A2775">
      <w:pPr>
        <w:spacing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c) Archivar </w:t>
      </w:r>
      <w:r>
        <w:rPr>
          <w:rFonts w:ascii="Times New Roman" w:eastAsiaTheme="minorHAnsi" w:hAnsi="Times New Roman"/>
          <w:sz w:val="24"/>
          <w:szCs w:val="24"/>
        </w:rPr>
        <w:t>definitivamente este expediente una vez esta resolución adquiera estado de firmeza.</w:t>
      </w:r>
    </w:p>
    <w:p w:rsidR="00927151" w:rsidRDefault="00927151" w:rsidP="00927151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72E8E" w:rsidRDefault="00A72E8E" w:rsidP="00927151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A5F4F" w:rsidRPr="00D24A37" w:rsidRDefault="00DA5F4F" w:rsidP="00DA5F4F">
      <w:pPr>
        <w:spacing w:after="0" w:line="240" w:lineRule="auto"/>
        <w:rPr>
          <w:sz w:val="16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---------------JCAMPOS----------------------CHSEGOVIA--------------------ILEGIBLE--------------------</w:t>
      </w:r>
      <w:proofErr w:type="spellStart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ILEGIBLE</w:t>
      </w:r>
      <w:proofErr w:type="spellEnd"/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---------PRONUNCIADO POR LA COMISIONADA Y LOS COMISIONADOS QUE LO SUSCRIBEN””””””””””””””””””””””””””””””””””””””””””””””””””””””””RUBRICADAS””””””””””””””””””””””””””””””””””””””””””””””</w:t>
      </w:r>
    </w:p>
    <w:p w:rsidR="003239B4" w:rsidRDefault="003239B4" w:rsidP="00DA5F4F">
      <w:pPr>
        <w:spacing w:line="360" w:lineRule="auto"/>
        <w:jc w:val="both"/>
      </w:pPr>
    </w:p>
    <w:sectPr w:rsidR="003239B4" w:rsidSect="004C46B7">
      <w:headerReference w:type="default" r:id="rId8"/>
      <w:footerReference w:type="default" r:id="rId9"/>
      <w:pgSz w:w="12240" w:h="15840"/>
      <w:pgMar w:top="1276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DF5" w:rsidRDefault="00B85DF5" w:rsidP="00927151">
      <w:pPr>
        <w:spacing w:after="0" w:line="240" w:lineRule="auto"/>
      </w:pPr>
      <w:r>
        <w:separator/>
      </w:r>
    </w:p>
  </w:endnote>
  <w:endnote w:type="continuationSeparator" w:id="0">
    <w:p w:rsidR="00B85DF5" w:rsidRDefault="00B85DF5" w:rsidP="0092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  <w:szCs w:val="20"/>
      </w:rPr>
      <w:id w:val="5104173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1074554081"/>
          <w:docPartObj>
            <w:docPartGallery w:val="Page Numbers (Top of Page)"/>
            <w:docPartUnique/>
          </w:docPartObj>
        </w:sdtPr>
        <w:sdtEndPr/>
        <w:sdtContent>
          <w:p w:rsidR="00923F87" w:rsidRPr="00042D0E" w:rsidRDefault="00F911FC">
            <w:pPr>
              <w:pStyle w:val="Piedepgin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D0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Página </w:t>
            </w:r>
            <w:r w:rsidRPr="00042D0E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042D0E">
              <w:rPr>
                <w:rFonts w:ascii="Times New Roman" w:hAnsi="Times New Roman"/>
                <w:bCs/>
                <w:sz w:val="20"/>
                <w:szCs w:val="20"/>
              </w:rPr>
              <w:instrText>PAGE</w:instrText>
            </w:r>
            <w:r w:rsidRPr="00042D0E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6E616C">
              <w:rPr>
                <w:rFonts w:ascii="Times New Roman" w:hAnsi="Times New Roman"/>
                <w:bCs/>
                <w:noProof/>
                <w:sz w:val="20"/>
                <w:szCs w:val="20"/>
              </w:rPr>
              <w:t>1</w:t>
            </w:r>
            <w:r w:rsidRPr="00042D0E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 w:rsidRPr="00042D0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r w:rsidRPr="00042D0E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042D0E">
              <w:rPr>
                <w:rFonts w:ascii="Times New Roman" w:hAnsi="Times New Roman"/>
                <w:bCs/>
                <w:sz w:val="20"/>
                <w:szCs w:val="20"/>
              </w:rPr>
              <w:instrText>NUMPAGES</w:instrText>
            </w:r>
            <w:r w:rsidRPr="00042D0E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6E616C">
              <w:rPr>
                <w:rFonts w:ascii="Times New Roman" w:hAnsi="Times New Roman"/>
                <w:bCs/>
                <w:noProof/>
                <w:sz w:val="20"/>
                <w:szCs w:val="20"/>
              </w:rPr>
              <w:t>3</w:t>
            </w:r>
            <w:r w:rsidRPr="00042D0E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23F87" w:rsidRDefault="00B85D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DF5" w:rsidRDefault="00B85DF5" w:rsidP="00927151">
      <w:pPr>
        <w:spacing w:after="0" w:line="240" w:lineRule="auto"/>
      </w:pPr>
      <w:r>
        <w:separator/>
      </w:r>
    </w:p>
  </w:footnote>
  <w:footnote w:type="continuationSeparator" w:id="0">
    <w:p w:rsidR="00B85DF5" w:rsidRDefault="00B85DF5" w:rsidP="00927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16C" w:rsidRDefault="006E616C">
    <w:pPr>
      <w:pStyle w:val="Encabezado"/>
    </w:pPr>
    <w:r>
      <w:t>DOCUMENTO ELABORADO EN VERSIÓN PÚBLICA</w:t>
    </w:r>
  </w:p>
  <w:p w:rsidR="006E616C" w:rsidRDefault="006E616C">
    <w:pPr>
      <w:pStyle w:val="Encabezado"/>
    </w:pPr>
    <w:r>
      <w:t>ART. 30 LAIP</w:t>
    </w:r>
  </w:p>
  <w:p w:rsidR="006E616C" w:rsidRDefault="006E616C">
    <w:pPr>
      <w:pStyle w:val="Encabezado"/>
    </w:pPr>
    <w:r>
      <w:t>SUPRESIÓN DE INFORMACIÓN CONFIDENCIAL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51"/>
    <w:rsid w:val="000C4C94"/>
    <w:rsid w:val="000D0F5C"/>
    <w:rsid w:val="00144560"/>
    <w:rsid w:val="001711BA"/>
    <w:rsid w:val="001A4B2D"/>
    <w:rsid w:val="0021151D"/>
    <w:rsid w:val="00211C35"/>
    <w:rsid w:val="002956BF"/>
    <w:rsid w:val="002A7EB6"/>
    <w:rsid w:val="003239B4"/>
    <w:rsid w:val="00336A61"/>
    <w:rsid w:val="003626A3"/>
    <w:rsid w:val="00393FA3"/>
    <w:rsid w:val="003A277E"/>
    <w:rsid w:val="00436513"/>
    <w:rsid w:val="0047172A"/>
    <w:rsid w:val="00563F6A"/>
    <w:rsid w:val="00586CBF"/>
    <w:rsid w:val="00602783"/>
    <w:rsid w:val="006D08EA"/>
    <w:rsid w:val="006E616C"/>
    <w:rsid w:val="008A4927"/>
    <w:rsid w:val="008B2A2A"/>
    <w:rsid w:val="009229CC"/>
    <w:rsid w:val="00927151"/>
    <w:rsid w:val="00930554"/>
    <w:rsid w:val="00963359"/>
    <w:rsid w:val="009A2775"/>
    <w:rsid w:val="009C6BC0"/>
    <w:rsid w:val="00A72E8E"/>
    <w:rsid w:val="00AC7A47"/>
    <w:rsid w:val="00B76926"/>
    <w:rsid w:val="00B85DF5"/>
    <w:rsid w:val="00BE5E2E"/>
    <w:rsid w:val="00D40159"/>
    <w:rsid w:val="00D8258C"/>
    <w:rsid w:val="00DA5F4F"/>
    <w:rsid w:val="00F335B3"/>
    <w:rsid w:val="00F72863"/>
    <w:rsid w:val="00F9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A5912-32F3-43B4-8C75-683C3E94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1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271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7151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927151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2715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27151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27151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1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11BA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760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AJuridico1</dc:creator>
  <cp:keywords/>
  <dc:description/>
  <cp:lastModifiedBy>admin</cp:lastModifiedBy>
  <cp:revision>6</cp:revision>
  <cp:lastPrinted>2017-05-15T20:57:00Z</cp:lastPrinted>
  <dcterms:created xsi:type="dcterms:W3CDTF">2017-05-15T20:55:00Z</dcterms:created>
  <dcterms:modified xsi:type="dcterms:W3CDTF">2017-08-29T22:06:00Z</dcterms:modified>
</cp:coreProperties>
</file>