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0CB7" w:rsidRPr="00ED34C4" w:rsidRDefault="00370CB7" w:rsidP="00370CB7">
      <w:pPr>
        <w:jc w:val="both"/>
        <w:rPr>
          <w:rFonts w:ascii="Candara" w:hAnsi="Candara"/>
          <w:sz w:val="28"/>
          <w:szCs w:val="28"/>
        </w:rPr>
      </w:pPr>
      <w:r w:rsidRPr="00ED34C4">
        <w:rPr>
          <w:noProof/>
          <w:lang w:val="es-ES" w:eastAsia="es-ES"/>
        </w:rPr>
        <w:drawing>
          <wp:anchor distT="0" distB="0" distL="114300" distR="114300" simplePos="0" relativeHeight="251660288" behindDoc="0" locked="0" layoutInCell="1" allowOverlap="1" wp14:anchorId="73B7D90F" wp14:editId="6F0EF9AD">
            <wp:simplePos x="0" y="0"/>
            <wp:positionH relativeFrom="column">
              <wp:posOffset>-5715</wp:posOffset>
            </wp:positionH>
            <wp:positionV relativeFrom="paragraph">
              <wp:posOffset>-459105</wp:posOffset>
            </wp:positionV>
            <wp:extent cx="640715" cy="594360"/>
            <wp:effectExtent l="0" t="0" r="6985" b="0"/>
            <wp:wrapSquare wrapText="bothSides"/>
            <wp:docPr id="1" name="Imagen 1" descr="escudo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nacional"/>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0715" cy="594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4C4">
        <w:rPr>
          <w:noProof/>
          <w:lang w:val="es-ES" w:eastAsia="es-ES"/>
        </w:rPr>
        <w:drawing>
          <wp:anchor distT="0" distB="0" distL="114300" distR="114300" simplePos="0" relativeHeight="251659264" behindDoc="1" locked="0" layoutInCell="1" allowOverlap="1" wp14:anchorId="2C8D4AF9" wp14:editId="4382064D">
            <wp:simplePos x="0" y="0"/>
            <wp:positionH relativeFrom="column">
              <wp:posOffset>4446270</wp:posOffset>
            </wp:positionH>
            <wp:positionV relativeFrom="paragraph">
              <wp:posOffset>-391160</wp:posOffset>
            </wp:positionV>
            <wp:extent cx="2079625" cy="676275"/>
            <wp:effectExtent l="0" t="0" r="0" b="0"/>
            <wp:wrapTight wrapText="bothSides">
              <wp:wrapPolygon edited="0">
                <wp:start x="2176" y="2434"/>
                <wp:lineTo x="1979" y="4868"/>
                <wp:lineTo x="1781" y="13994"/>
                <wp:lineTo x="791" y="20687"/>
                <wp:lineTo x="9893" y="20687"/>
                <wp:lineTo x="8706" y="13386"/>
                <wp:lineTo x="20380" y="13386"/>
                <wp:lineTo x="20380" y="8518"/>
                <wp:lineTo x="6529" y="2434"/>
                <wp:lineTo x="2176" y="2434"/>
              </wp:wrapPolygon>
            </wp:wrapTight>
            <wp:docPr id="2" name="Imagen 2" descr="3- iaip_horizontal_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iaip_horizontal_c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7962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70CB7" w:rsidRPr="00ED34C4" w:rsidRDefault="00370CB7" w:rsidP="00370CB7">
      <w:pPr>
        <w:jc w:val="center"/>
        <w:rPr>
          <w:rFonts w:ascii="Arial" w:hAnsi="Arial" w:cs="Arial"/>
          <w:color w:val="000000"/>
        </w:rPr>
      </w:pPr>
    </w:p>
    <w:p w:rsidR="00370CB7" w:rsidRPr="00F831EF" w:rsidRDefault="00370CB7" w:rsidP="00370CB7">
      <w:pPr>
        <w:ind w:left="708" w:firstLine="708"/>
        <w:jc w:val="center"/>
        <w:rPr>
          <w:rFonts w:ascii="Arial" w:hAnsi="Arial" w:cs="Arial"/>
          <w:b/>
          <w:color w:val="000000"/>
        </w:rPr>
      </w:pPr>
      <w:r w:rsidRPr="00ED34C4">
        <w:rPr>
          <w:rFonts w:ascii="Arial" w:hAnsi="Arial" w:cs="Arial"/>
          <w:b/>
          <w:color w:val="000000"/>
        </w:rPr>
        <w:t>COMUNICADO DE PRENSA</w:t>
      </w:r>
    </w:p>
    <w:p w:rsidR="00370CB7" w:rsidRDefault="00370CB7" w:rsidP="00370CB7">
      <w:pPr>
        <w:pStyle w:val="NormalWeb"/>
        <w:shd w:val="clear" w:color="auto" w:fill="FFFFFF"/>
        <w:spacing w:after="300" w:line="276" w:lineRule="auto"/>
        <w:jc w:val="center"/>
        <w:textAlignment w:val="baseline"/>
        <w:rPr>
          <w:rFonts w:ascii="Arial" w:hAnsi="Arial" w:cs="Arial"/>
          <w:b/>
          <w:color w:val="333399"/>
          <w:sz w:val="28"/>
          <w:szCs w:val="28"/>
          <w:lang w:val="es-SV"/>
        </w:rPr>
      </w:pPr>
      <w:r w:rsidRPr="00984493">
        <w:rPr>
          <w:rFonts w:ascii="Arial" w:hAnsi="Arial" w:cs="Arial"/>
          <w:b/>
          <w:color w:val="333399"/>
          <w:sz w:val="28"/>
          <w:szCs w:val="28"/>
          <w:lang w:val="es-SV"/>
        </w:rPr>
        <w:t>IAIP realiza rendición de cuentas 201</w:t>
      </w:r>
      <w:r w:rsidR="00961910">
        <w:rPr>
          <w:rFonts w:ascii="Arial" w:hAnsi="Arial" w:cs="Arial"/>
          <w:b/>
          <w:color w:val="333399"/>
          <w:sz w:val="28"/>
          <w:szCs w:val="28"/>
          <w:lang w:val="es-SV"/>
        </w:rPr>
        <w:t>7-2018</w:t>
      </w:r>
    </w:p>
    <w:p w:rsidR="00370CB7" w:rsidRPr="001F7B9E" w:rsidRDefault="00370CB7" w:rsidP="00370CB7">
      <w:pPr>
        <w:pStyle w:val="NormalWeb"/>
        <w:shd w:val="clear" w:color="auto" w:fill="FFFFFF"/>
        <w:spacing w:after="300" w:line="276" w:lineRule="auto"/>
        <w:jc w:val="both"/>
        <w:textAlignment w:val="baseline"/>
        <w:rPr>
          <w:bCs/>
          <w:sz w:val="22"/>
          <w:szCs w:val="22"/>
          <w:bdr w:val="none" w:sz="0" w:space="0" w:color="auto" w:frame="1"/>
          <w:lang w:val="es-SV" w:eastAsia="es-SV"/>
        </w:rPr>
      </w:pPr>
      <w:r w:rsidRPr="001F7B9E">
        <w:rPr>
          <w:b/>
          <w:bCs/>
          <w:sz w:val="22"/>
          <w:szCs w:val="22"/>
          <w:bdr w:val="none" w:sz="0" w:space="0" w:color="auto" w:frame="1"/>
          <w:lang w:val="es-SV" w:eastAsia="es-SV"/>
        </w:rPr>
        <w:t>San Salvador, 28 Septiembre de 201</w:t>
      </w:r>
      <w:r w:rsidR="00961910" w:rsidRPr="001F7B9E">
        <w:rPr>
          <w:b/>
          <w:bCs/>
          <w:sz w:val="22"/>
          <w:szCs w:val="22"/>
          <w:bdr w:val="none" w:sz="0" w:space="0" w:color="auto" w:frame="1"/>
          <w:lang w:val="es-SV" w:eastAsia="es-SV"/>
        </w:rPr>
        <w:t>8</w:t>
      </w:r>
      <w:r w:rsidRPr="001F7B9E">
        <w:rPr>
          <w:b/>
          <w:bCs/>
          <w:sz w:val="22"/>
          <w:szCs w:val="22"/>
          <w:bdr w:val="none" w:sz="0" w:space="0" w:color="auto" w:frame="1"/>
          <w:lang w:val="es-SV" w:eastAsia="es-SV"/>
        </w:rPr>
        <w:t xml:space="preserve">. </w:t>
      </w:r>
      <w:r w:rsidRPr="001F7B9E">
        <w:rPr>
          <w:bCs/>
          <w:sz w:val="22"/>
          <w:szCs w:val="22"/>
          <w:bdr w:val="none" w:sz="0" w:space="0" w:color="auto" w:frame="1"/>
          <w:lang w:val="es-SV" w:eastAsia="es-SV"/>
        </w:rPr>
        <w:t xml:space="preserve">El Instituto de Acceso a la Información Pública (IAIP) realizó el ejercicio de rendición de cuentas correspondiente al período </w:t>
      </w:r>
      <w:r w:rsidR="0001400C">
        <w:rPr>
          <w:bCs/>
          <w:sz w:val="22"/>
          <w:szCs w:val="22"/>
          <w:bdr w:val="none" w:sz="0" w:space="0" w:color="auto" w:frame="1"/>
          <w:lang w:val="es-SV" w:eastAsia="es-SV"/>
        </w:rPr>
        <w:t xml:space="preserve">septiembre </w:t>
      </w:r>
      <w:r w:rsidRPr="001F7B9E">
        <w:rPr>
          <w:bCs/>
          <w:sz w:val="22"/>
          <w:szCs w:val="22"/>
          <w:bdr w:val="none" w:sz="0" w:space="0" w:color="auto" w:frame="1"/>
          <w:lang w:val="es-SV" w:eastAsia="es-SV"/>
        </w:rPr>
        <w:t>201</w:t>
      </w:r>
      <w:r w:rsidR="00961910" w:rsidRPr="001F7B9E">
        <w:rPr>
          <w:bCs/>
          <w:sz w:val="22"/>
          <w:szCs w:val="22"/>
          <w:bdr w:val="none" w:sz="0" w:space="0" w:color="auto" w:frame="1"/>
          <w:lang w:val="es-SV" w:eastAsia="es-SV"/>
        </w:rPr>
        <w:t>7-</w:t>
      </w:r>
      <w:r w:rsidR="0001400C">
        <w:rPr>
          <w:bCs/>
          <w:sz w:val="22"/>
          <w:szCs w:val="22"/>
          <w:bdr w:val="none" w:sz="0" w:space="0" w:color="auto" w:frame="1"/>
          <w:lang w:val="es-SV" w:eastAsia="es-SV"/>
        </w:rPr>
        <w:t xml:space="preserve">agosto </w:t>
      </w:r>
      <w:r w:rsidR="00961910" w:rsidRPr="001F7B9E">
        <w:rPr>
          <w:bCs/>
          <w:sz w:val="22"/>
          <w:szCs w:val="22"/>
          <w:bdr w:val="none" w:sz="0" w:space="0" w:color="auto" w:frame="1"/>
          <w:lang w:val="es-SV" w:eastAsia="es-SV"/>
        </w:rPr>
        <w:t>2018</w:t>
      </w:r>
      <w:r w:rsidRPr="001F7B9E">
        <w:rPr>
          <w:bCs/>
          <w:sz w:val="22"/>
          <w:szCs w:val="22"/>
          <w:bdr w:val="none" w:sz="0" w:space="0" w:color="auto" w:frame="1"/>
          <w:lang w:val="es-SV" w:eastAsia="es-SV"/>
        </w:rPr>
        <w:t xml:space="preserve">, </w:t>
      </w:r>
      <w:r w:rsidR="0001400C">
        <w:rPr>
          <w:bCs/>
          <w:sz w:val="22"/>
          <w:szCs w:val="22"/>
          <w:bdr w:val="none" w:sz="0" w:space="0" w:color="auto" w:frame="1"/>
          <w:lang w:val="es-SV" w:eastAsia="es-SV"/>
        </w:rPr>
        <w:t>en el marco del cumplimiento de</w:t>
      </w:r>
      <w:r w:rsidRPr="001F7B9E">
        <w:rPr>
          <w:bCs/>
          <w:sz w:val="22"/>
          <w:szCs w:val="22"/>
          <w:bdr w:val="none" w:sz="0" w:space="0" w:color="auto" w:frame="1"/>
          <w:lang w:val="es-SV" w:eastAsia="es-SV"/>
        </w:rPr>
        <w:t xml:space="preserve"> la Ley de Acceso a la Información Pública (LAIP).</w:t>
      </w:r>
    </w:p>
    <w:p w:rsidR="00370CB7" w:rsidRPr="001F7B9E" w:rsidRDefault="0001400C" w:rsidP="00370CB7">
      <w:pPr>
        <w:pStyle w:val="NormalWeb"/>
        <w:shd w:val="clear" w:color="auto" w:fill="FFFFFF"/>
        <w:spacing w:after="300" w:line="276" w:lineRule="auto"/>
        <w:jc w:val="both"/>
        <w:textAlignment w:val="baseline"/>
        <w:rPr>
          <w:bCs/>
          <w:sz w:val="22"/>
          <w:szCs w:val="22"/>
          <w:bdr w:val="none" w:sz="0" w:space="0" w:color="auto" w:frame="1"/>
          <w:lang w:val="es-SV" w:eastAsia="es-SV"/>
        </w:rPr>
      </w:pPr>
      <w:r>
        <w:rPr>
          <w:bCs/>
          <w:sz w:val="22"/>
          <w:szCs w:val="22"/>
          <w:bdr w:val="none" w:sz="0" w:space="0" w:color="auto" w:frame="1"/>
          <w:lang w:val="es-SV" w:eastAsia="es-SV"/>
        </w:rPr>
        <w:t>El evento se realizó en el</w:t>
      </w:r>
      <w:r w:rsidR="00370CB7" w:rsidRPr="001F7B9E">
        <w:rPr>
          <w:bCs/>
          <w:sz w:val="22"/>
          <w:szCs w:val="22"/>
          <w:bdr w:val="none" w:sz="0" w:space="0" w:color="auto" w:frame="1"/>
          <w:lang w:val="es-SV" w:eastAsia="es-SV"/>
        </w:rPr>
        <w:t xml:space="preserve"> Día Internacional del Derecho a Saber, </w:t>
      </w:r>
      <w:r>
        <w:rPr>
          <w:bCs/>
          <w:sz w:val="22"/>
          <w:szCs w:val="22"/>
          <w:bdr w:val="none" w:sz="0" w:space="0" w:color="auto" w:frame="1"/>
          <w:lang w:val="es-SV" w:eastAsia="es-SV"/>
        </w:rPr>
        <w:t>que cada 28 de septiembre se celebra a nivel mundial. En otros ámbitos esta celebración es conocida como el Día Internación del Acceso a la Información.</w:t>
      </w:r>
    </w:p>
    <w:p w:rsidR="00370CB7" w:rsidRPr="001F7B9E" w:rsidRDefault="00370CB7" w:rsidP="00370CB7">
      <w:pPr>
        <w:pStyle w:val="NormalWeb"/>
        <w:shd w:val="clear" w:color="auto" w:fill="FFFFFF"/>
        <w:spacing w:after="300" w:line="276" w:lineRule="auto"/>
        <w:jc w:val="both"/>
        <w:textAlignment w:val="baseline"/>
        <w:rPr>
          <w:bCs/>
          <w:sz w:val="22"/>
          <w:szCs w:val="22"/>
          <w:bdr w:val="none" w:sz="0" w:space="0" w:color="auto" w:frame="1"/>
          <w:lang w:val="es-SV" w:eastAsia="es-SV"/>
        </w:rPr>
      </w:pPr>
      <w:r w:rsidRPr="001F7B9E">
        <w:rPr>
          <w:bCs/>
          <w:sz w:val="22"/>
          <w:szCs w:val="22"/>
          <w:bdr w:val="none" w:sz="0" w:space="0" w:color="auto" w:frame="1"/>
          <w:lang w:val="es-SV" w:eastAsia="es-SV"/>
        </w:rPr>
        <w:t xml:space="preserve">Algunos de los aspectos </w:t>
      </w:r>
      <w:r w:rsidR="0001400C">
        <w:rPr>
          <w:bCs/>
          <w:sz w:val="22"/>
          <w:szCs w:val="22"/>
          <w:bdr w:val="none" w:sz="0" w:space="0" w:color="auto" w:frame="1"/>
          <w:lang w:val="es-SV" w:eastAsia="es-SV"/>
        </w:rPr>
        <w:t xml:space="preserve">que el IAIP destaca en su quinto ejercicio de rendición de cuentas </w:t>
      </w:r>
      <w:r w:rsidR="00160A8D">
        <w:rPr>
          <w:bCs/>
          <w:sz w:val="22"/>
          <w:szCs w:val="22"/>
          <w:bdr w:val="none" w:sz="0" w:space="0" w:color="auto" w:frame="1"/>
          <w:lang w:val="es-SV" w:eastAsia="es-SV"/>
        </w:rPr>
        <w:t>son:</w:t>
      </w:r>
    </w:p>
    <w:p w:rsidR="00506B33" w:rsidRPr="001F7B9E" w:rsidRDefault="00506B33" w:rsidP="00506B33">
      <w:pPr>
        <w:pStyle w:val="NormalWeb"/>
        <w:shd w:val="clear" w:color="auto" w:fill="FFFFFF"/>
        <w:spacing w:after="300" w:line="276" w:lineRule="auto"/>
        <w:jc w:val="both"/>
        <w:textAlignment w:val="baseline"/>
        <w:rPr>
          <w:b/>
          <w:bCs/>
          <w:sz w:val="22"/>
          <w:szCs w:val="22"/>
          <w:bdr w:val="none" w:sz="0" w:space="0" w:color="auto" w:frame="1"/>
          <w:lang w:val="es-SV" w:eastAsia="es-SV"/>
        </w:rPr>
      </w:pPr>
      <w:r w:rsidRPr="001F7B9E">
        <w:rPr>
          <w:b/>
          <w:bCs/>
          <w:sz w:val="22"/>
          <w:szCs w:val="22"/>
          <w:bdr w:val="none" w:sz="0" w:space="0" w:color="auto" w:frame="1"/>
          <w:lang w:val="es-SV" w:eastAsia="es-SV"/>
        </w:rPr>
        <w:t>Atención a los ciudadanos y entes obligados</w:t>
      </w:r>
    </w:p>
    <w:p w:rsidR="00C92889" w:rsidRPr="001F7B9E" w:rsidRDefault="00C92889" w:rsidP="00506B33">
      <w:pPr>
        <w:pStyle w:val="NormalWeb"/>
        <w:shd w:val="clear" w:color="auto" w:fill="FFFFFF"/>
        <w:spacing w:after="300" w:line="276" w:lineRule="auto"/>
        <w:jc w:val="both"/>
        <w:textAlignment w:val="baseline"/>
        <w:rPr>
          <w:b/>
          <w:bCs/>
          <w:sz w:val="22"/>
          <w:szCs w:val="22"/>
          <w:bdr w:val="none" w:sz="0" w:space="0" w:color="auto" w:frame="1"/>
          <w:lang w:val="es-SV" w:eastAsia="es-SV"/>
        </w:rPr>
      </w:pPr>
      <w:r w:rsidRPr="001F7B9E">
        <w:rPr>
          <w:bCs/>
          <w:sz w:val="22"/>
          <w:szCs w:val="22"/>
          <w:bdr w:val="none" w:sz="0" w:space="0" w:color="auto" w:frame="1"/>
          <w:lang w:val="es-SV" w:eastAsia="es-SV"/>
        </w:rPr>
        <w:t xml:space="preserve">La Unidad de Acceso a la Información atendió durante el período de rendición de cuentas un total de </w:t>
      </w:r>
      <w:r w:rsidRPr="001F7B9E">
        <w:rPr>
          <w:b/>
          <w:bCs/>
          <w:sz w:val="22"/>
          <w:szCs w:val="22"/>
          <w:bdr w:val="none" w:sz="0" w:space="0" w:color="auto" w:frame="1"/>
          <w:lang w:val="es-SV" w:eastAsia="es-SV"/>
        </w:rPr>
        <w:t>130 solicitudes de información</w:t>
      </w:r>
      <w:r w:rsidRPr="001F7B9E">
        <w:rPr>
          <w:bCs/>
          <w:sz w:val="22"/>
          <w:szCs w:val="22"/>
          <w:bdr w:val="none" w:sz="0" w:space="0" w:color="auto" w:frame="1"/>
          <w:lang w:val="es-SV" w:eastAsia="es-SV"/>
        </w:rPr>
        <w:t xml:space="preserve">, los cuales </w:t>
      </w:r>
      <w:r w:rsidRPr="001F7B9E">
        <w:rPr>
          <w:b/>
          <w:bCs/>
          <w:sz w:val="22"/>
          <w:szCs w:val="22"/>
          <w:bdr w:val="none" w:sz="0" w:space="0" w:color="auto" w:frame="1"/>
          <w:lang w:val="es-SV" w:eastAsia="es-SV"/>
        </w:rPr>
        <w:t>suman casi 300 requerimientos de información.</w:t>
      </w:r>
    </w:p>
    <w:p w:rsidR="00506B33" w:rsidRPr="001F7B9E" w:rsidRDefault="00506B33" w:rsidP="00506B33">
      <w:pPr>
        <w:pStyle w:val="NormalWeb"/>
        <w:shd w:val="clear" w:color="auto" w:fill="FFFFFF"/>
        <w:spacing w:after="300" w:line="276" w:lineRule="auto"/>
        <w:jc w:val="both"/>
        <w:textAlignment w:val="baseline"/>
        <w:rPr>
          <w:bCs/>
          <w:sz w:val="22"/>
          <w:szCs w:val="22"/>
          <w:bdr w:val="none" w:sz="0" w:space="0" w:color="auto" w:frame="1"/>
          <w:lang w:val="es-SV" w:eastAsia="es-SV"/>
        </w:rPr>
      </w:pPr>
      <w:r w:rsidRPr="001F7B9E">
        <w:rPr>
          <w:bCs/>
          <w:sz w:val="22"/>
          <w:szCs w:val="22"/>
          <w:bdr w:val="none" w:sz="0" w:space="0" w:color="auto" w:frame="1"/>
          <w:lang w:val="es-SV" w:eastAsia="es-SV"/>
        </w:rPr>
        <w:t xml:space="preserve">Por otra parte, durante el período informado </w:t>
      </w:r>
      <w:r w:rsidRPr="001F7B9E">
        <w:rPr>
          <w:b/>
          <w:bCs/>
          <w:sz w:val="22"/>
          <w:szCs w:val="22"/>
          <w:bdr w:val="none" w:sz="0" w:space="0" w:color="auto" w:frame="1"/>
          <w:lang w:val="es-SV" w:eastAsia="es-SV"/>
        </w:rPr>
        <w:t>el IAIP capacitó a un total de</w:t>
      </w:r>
      <w:r w:rsidR="0046098D" w:rsidRPr="001F7B9E">
        <w:rPr>
          <w:b/>
          <w:bCs/>
          <w:sz w:val="22"/>
          <w:szCs w:val="22"/>
          <w:bdr w:val="none" w:sz="0" w:space="0" w:color="auto" w:frame="1"/>
          <w:lang w:val="es-SV" w:eastAsia="es-SV"/>
        </w:rPr>
        <w:t xml:space="preserve"> </w:t>
      </w:r>
      <w:r w:rsidR="0046098D" w:rsidRPr="001F7B9E">
        <w:rPr>
          <w:b/>
          <w:bCs/>
          <w:sz w:val="22"/>
          <w:szCs w:val="22"/>
          <w:u w:val="single"/>
          <w:bdr w:val="none" w:sz="0" w:space="0" w:color="auto" w:frame="1"/>
          <w:lang w:val="es-SV" w:eastAsia="es-SV"/>
        </w:rPr>
        <w:t>4,005</w:t>
      </w:r>
      <w:r w:rsidR="0046098D" w:rsidRPr="001F7B9E">
        <w:rPr>
          <w:b/>
          <w:bCs/>
          <w:sz w:val="22"/>
          <w:szCs w:val="22"/>
          <w:bdr w:val="none" w:sz="0" w:space="0" w:color="auto" w:frame="1"/>
          <w:lang w:val="es-SV" w:eastAsia="es-SV"/>
        </w:rPr>
        <w:t xml:space="preserve"> personas</w:t>
      </w:r>
      <w:r w:rsidR="0046098D" w:rsidRPr="001F7B9E">
        <w:rPr>
          <w:bCs/>
          <w:sz w:val="22"/>
          <w:szCs w:val="22"/>
          <w:bdr w:val="none" w:sz="0" w:space="0" w:color="auto" w:frame="1"/>
          <w:lang w:val="es-SV" w:eastAsia="es-SV"/>
        </w:rPr>
        <w:t xml:space="preserve">, </w:t>
      </w:r>
      <w:r w:rsidRPr="001F7B9E">
        <w:rPr>
          <w:bCs/>
          <w:sz w:val="22"/>
          <w:szCs w:val="22"/>
          <w:bdr w:val="none" w:sz="0" w:space="0" w:color="auto" w:frame="1"/>
          <w:lang w:val="es-SV" w:eastAsia="es-SV"/>
        </w:rPr>
        <w:t xml:space="preserve">entre empleados </w:t>
      </w:r>
      <w:r w:rsidR="00B03EAA" w:rsidRPr="001F7B9E">
        <w:rPr>
          <w:bCs/>
          <w:sz w:val="22"/>
          <w:szCs w:val="22"/>
          <w:bdr w:val="none" w:sz="0" w:space="0" w:color="auto" w:frame="1"/>
          <w:lang w:val="es-SV" w:eastAsia="es-SV"/>
        </w:rPr>
        <w:t>del gobierno central y autónomo</w:t>
      </w:r>
      <w:r w:rsidRPr="001F7B9E">
        <w:rPr>
          <w:bCs/>
          <w:sz w:val="22"/>
          <w:szCs w:val="22"/>
          <w:bdr w:val="none" w:sz="0" w:space="0" w:color="auto" w:frame="1"/>
          <w:lang w:val="es-SV" w:eastAsia="es-SV"/>
        </w:rPr>
        <w:t>, municipalidades, sociedad civil organizada, periodistas, líderes comunitarios, docentes y estudiantes universitarios así como docentes de diferentes niveles educativos.</w:t>
      </w:r>
    </w:p>
    <w:p w:rsidR="005666B2" w:rsidRDefault="0046098D" w:rsidP="0046098D">
      <w:pPr>
        <w:pStyle w:val="NormalWeb"/>
        <w:shd w:val="clear" w:color="auto" w:fill="FFFFFF"/>
        <w:spacing w:after="300" w:line="276" w:lineRule="auto"/>
        <w:jc w:val="both"/>
        <w:textAlignment w:val="baseline"/>
        <w:rPr>
          <w:bCs/>
          <w:sz w:val="22"/>
          <w:szCs w:val="22"/>
          <w:bdr w:val="none" w:sz="0" w:space="0" w:color="auto" w:frame="1"/>
          <w:lang w:val="es-SV" w:eastAsia="es-SV"/>
        </w:rPr>
      </w:pPr>
      <w:r w:rsidRPr="001F7B9E">
        <w:rPr>
          <w:bCs/>
          <w:sz w:val="22"/>
          <w:szCs w:val="22"/>
          <w:bdr w:val="none" w:sz="0" w:space="0" w:color="auto" w:frame="1"/>
          <w:lang w:val="es-SV" w:eastAsia="es-SV"/>
        </w:rPr>
        <w:t xml:space="preserve">La estrategia </w:t>
      </w:r>
      <w:r w:rsidR="001F7B9E">
        <w:rPr>
          <w:bCs/>
          <w:sz w:val="22"/>
          <w:szCs w:val="22"/>
          <w:bdr w:val="none" w:sz="0" w:space="0" w:color="auto" w:frame="1"/>
          <w:lang w:val="es-SV" w:eastAsia="es-SV"/>
        </w:rPr>
        <w:t>del IAIP en materia de capacitaciones e</w:t>
      </w:r>
      <w:r w:rsidRPr="001F7B9E">
        <w:rPr>
          <w:bCs/>
          <w:sz w:val="22"/>
          <w:szCs w:val="22"/>
          <w:bdr w:val="none" w:sz="0" w:space="0" w:color="auto" w:frame="1"/>
          <w:lang w:val="es-SV" w:eastAsia="es-SV"/>
        </w:rPr>
        <w:t>stuvo orientada al plan de formación en temas de interés para servidores públicos y sociedad civil, en temáticas como las generalidades de la Ley de Acceso a la Información Pública, transparencia y derecho de acceso a la información pública, protección de datos personales, procedimientos de acceso a la información, clasificación de la información, gestión documental y archivos y lineamientos de publicación de información oficiosa.</w:t>
      </w:r>
    </w:p>
    <w:p w:rsidR="001F7B9E" w:rsidRPr="006263B1" w:rsidRDefault="001F7B9E" w:rsidP="001F7B9E">
      <w:pPr>
        <w:pStyle w:val="NormalWeb"/>
        <w:shd w:val="clear" w:color="auto" w:fill="FFFFFF"/>
        <w:spacing w:after="300" w:line="276" w:lineRule="auto"/>
        <w:jc w:val="both"/>
        <w:textAlignment w:val="baseline"/>
        <w:rPr>
          <w:b/>
          <w:bCs/>
          <w:sz w:val="22"/>
          <w:szCs w:val="22"/>
          <w:bdr w:val="none" w:sz="0" w:space="0" w:color="auto" w:frame="1"/>
          <w:lang w:val="es-SV" w:eastAsia="es-SV"/>
        </w:rPr>
      </w:pPr>
      <w:r w:rsidRPr="006263B1">
        <w:rPr>
          <w:b/>
          <w:bCs/>
          <w:sz w:val="22"/>
          <w:szCs w:val="22"/>
          <w:bdr w:val="none" w:sz="0" w:space="0" w:color="auto" w:frame="1"/>
          <w:lang w:val="es-SV" w:eastAsia="es-SV"/>
        </w:rPr>
        <w:t>Capacitaciones</w:t>
      </w:r>
    </w:p>
    <w:p w:rsidR="008777E4" w:rsidRPr="008777E4" w:rsidRDefault="008777E4" w:rsidP="008777E4">
      <w:pPr>
        <w:pStyle w:val="NormalWeb"/>
        <w:shd w:val="clear" w:color="auto" w:fill="FFFFFF"/>
        <w:spacing w:after="300" w:line="276" w:lineRule="auto"/>
        <w:jc w:val="both"/>
        <w:textAlignment w:val="baseline"/>
        <w:rPr>
          <w:bCs/>
          <w:sz w:val="22"/>
          <w:szCs w:val="22"/>
          <w:bdr w:val="none" w:sz="0" w:space="0" w:color="auto" w:frame="1"/>
          <w:lang w:val="es-SV" w:eastAsia="es-SV"/>
        </w:rPr>
      </w:pPr>
      <w:r w:rsidRPr="008777E4">
        <w:rPr>
          <w:bCs/>
          <w:sz w:val="22"/>
          <w:szCs w:val="22"/>
          <w:bdr w:val="none" w:sz="0" w:space="0" w:color="auto" w:frame="1"/>
          <w:lang w:val="es-SV" w:eastAsia="es-SV"/>
        </w:rPr>
        <w:t xml:space="preserve">Las capacitaciones se impartieron en modalidad presencial y en modalidad virtual. </w:t>
      </w:r>
      <w:r w:rsidRPr="008777E4">
        <w:rPr>
          <w:b/>
          <w:bCs/>
          <w:sz w:val="22"/>
          <w:szCs w:val="22"/>
          <w:bdr w:val="none" w:sz="0" w:space="0" w:color="auto" w:frame="1"/>
          <w:lang w:val="es-SV" w:eastAsia="es-SV"/>
        </w:rPr>
        <w:t>En modalidad presencial</w:t>
      </w:r>
      <w:r w:rsidRPr="008777E4">
        <w:rPr>
          <w:bCs/>
          <w:sz w:val="22"/>
          <w:szCs w:val="22"/>
          <w:bdr w:val="none" w:sz="0" w:space="0" w:color="auto" w:frame="1"/>
          <w:lang w:val="es-SV" w:eastAsia="es-SV"/>
        </w:rPr>
        <w:t xml:space="preserve"> se desarrollaron 124 jornadas de capacitación. De estas, 61 fueron realizadas según el plan de la Unidad y 63 a solicitud de diferentes sectores (tanto de entes obligados como de sociedad civil). Con ello </w:t>
      </w:r>
      <w:r w:rsidRPr="008777E4">
        <w:rPr>
          <w:b/>
          <w:bCs/>
          <w:sz w:val="22"/>
          <w:szCs w:val="22"/>
          <w:bdr w:val="none" w:sz="0" w:space="0" w:color="auto" w:frame="1"/>
          <w:lang w:val="es-SV" w:eastAsia="es-SV"/>
        </w:rPr>
        <w:t>se obtuvo un alcance de 3,775 participantes</w:t>
      </w:r>
      <w:r w:rsidRPr="008777E4">
        <w:rPr>
          <w:bCs/>
          <w:sz w:val="22"/>
          <w:szCs w:val="22"/>
          <w:bdr w:val="none" w:sz="0" w:space="0" w:color="auto" w:frame="1"/>
          <w:lang w:val="es-SV" w:eastAsia="es-SV"/>
        </w:rPr>
        <w:t xml:space="preserve">. </w:t>
      </w:r>
    </w:p>
    <w:p w:rsidR="008777E4" w:rsidRPr="008777E4" w:rsidRDefault="008777E4" w:rsidP="008777E4">
      <w:pPr>
        <w:pStyle w:val="NormalWeb"/>
        <w:shd w:val="clear" w:color="auto" w:fill="FFFFFF"/>
        <w:spacing w:after="300" w:line="276" w:lineRule="auto"/>
        <w:jc w:val="both"/>
        <w:textAlignment w:val="baseline"/>
        <w:rPr>
          <w:bCs/>
          <w:sz w:val="22"/>
          <w:szCs w:val="22"/>
          <w:bdr w:val="none" w:sz="0" w:space="0" w:color="auto" w:frame="1"/>
          <w:lang w:val="es-SV" w:eastAsia="es-SV"/>
        </w:rPr>
      </w:pPr>
      <w:r w:rsidRPr="008777E4">
        <w:rPr>
          <w:b/>
          <w:bCs/>
          <w:sz w:val="22"/>
          <w:szCs w:val="22"/>
          <w:bdr w:val="none" w:sz="0" w:space="0" w:color="auto" w:frame="1"/>
          <w:lang w:val="es-SV" w:eastAsia="es-SV"/>
        </w:rPr>
        <w:t>En modalidad virtual se capacitó a 230 personas</w:t>
      </w:r>
      <w:r w:rsidRPr="008777E4">
        <w:rPr>
          <w:bCs/>
          <w:sz w:val="22"/>
          <w:szCs w:val="22"/>
          <w:bdr w:val="none" w:sz="0" w:space="0" w:color="auto" w:frame="1"/>
          <w:lang w:val="es-SV" w:eastAsia="es-SV"/>
        </w:rPr>
        <w:t>, de las cuales 146 recibieron el “módulo de capacitación virtual para el conocimiento y divulgación de la LAIP"; 56 oficiales de información aprobaron el “Curso preparatorio sobre la Ley de Acceso a la Información Pública para Oficiales de Información”; y 28 personas finalizaron el “Curso básico de archivística y gestión documental”.</w:t>
      </w:r>
    </w:p>
    <w:p w:rsidR="001F7B9E" w:rsidRPr="00B62A9A" w:rsidRDefault="008777E4" w:rsidP="008777E4">
      <w:pPr>
        <w:pStyle w:val="NormalWeb"/>
        <w:shd w:val="clear" w:color="auto" w:fill="FFFFFF"/>
        <w:spacing w:after="300" w:line="276" w:lineRule="auto"/>
        <w:jc w:val="both"/>
        <w:textAlignment w:val="baseline"/>
        <w:rPr>
          <w:bCs/>
          <w:sz w:val="22"/>
          <w:szCs w:val="22"/>
          <w:bdr w:val="none" w:sz="0" w:space="0" w:color="auto" w:frame="1"/>
          <w:lang w:val="es-SV" w:eastAsia="es-SV"/>
        </w:rPr>
      </w:pPr>
      <w:r w:rsidRPr="008777E4">
        <w:rPr>
          <w:bCs/>
          <w:sz w:val="22"/>
          <w:szCs w:val="22"/>
          <w:bdr w:val="none" w:sz="0" w:space="0" w:color="auto" w:frame="1"/>
          <w:lang w:val="es-SV" w:eastAsia="es-SV"/>
        </w:rPr>
        <w:lastRenderedPageBreak/>
        <w:t xml:space="preserve">En el consolidado de ambas modalidades </w:t>
      </w:r>
      <w:r w:rsidRPr="00C343AC">
        <w:rPr>
          <w:b/>
          <w:bCs/>
          <w:sz w:val="22"/>
          <w:szCs w:val="22"/>
          <w:bdr w:val="none" w:sz="0" w:space="0" w:color="auto" w:frame="1"/>
          <w:lang w:val="es-SV" w:eastAsia="es-SV"/>
        </w:rPr>
        <w:t>se capacitó a un total de 4,005 personas,</w:t>
      </w:r>
      <w:r w:rsidRPr="008777E4">
        <w:rPr>
          <w:bCs/>
          <w:sz w:val="22"/>
          <w:szCs w:val="22"/>
          <w:bdr w:val="none" w:sz="0" w:space="0" w:color="auto" w:frame="1"/>
          <w:lang w:val="es-SV" w:eastAsia="es-SV"/>
        </w:rPr>
        <w:t xml:space="preserve"> de las cuales el 45.9% fueron hombres y el 54.1% fueron mujeres</w:t>
      </w:r>
    </w:p>
    <w:tbl>
      <w:tblPr>
        <w:tblStyle w:val="Tabladelista4-nfasis1"/>
        <w:tblW w:w="0" w:type="auto"/>
        <w:tblLook w:val="04A0" w:firstRow="1" w:lastRow="0" w:firstColumn="1" w:lastColumn="0" w:noHBand="0" w:noVBand="1"/>
      </w:tblPr>
      <w:tblGrid>
        <w:gridCol w:w="2972"/>
        <w:gridCol w:w="1985"/>
        <w:gridCol w:w="1984"/>
        <w:gridCol w:w="1887"/>
      </w:tblGrid>
      <w:tr w:rsidR="001F7B9E" w:rsidRPr="000230D5" w:rsidTr="008830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4"/>
          </w:tcPr>
          <w:p w:rsidR="001F7B9E" w:rsidRPr="000230D5" w:rsidRDefault="001F7B9E" w:rsidP="008830AD">
            <w:pPr>
              <w:jc w:val="center"/>
            </w:pPr>
            <w:r w:rsidRPr="000230D5">
              <w:t>Total de participantes capacitados</w:t>
            </w:r>
          </w:p>
        </w:tc>
      </w:tr>
      <w:tr w:rsidR="001F7B9E" w:rsidRPr="000230D5" w:rsidTr="008830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1F7B9E" w:rsidRPr="000230D5" w:rsidRDefault="001F7B9E" w:rsidP="008830AD">
            <w:pPr>
              <w:jc w:val="center"/>
            </w:pPr>
            <w:r w:rsidRPr="000230D5">
              <w:t>Año</w:t>
            </w:r>
          </w:p>
        </w:tc>
        <w:tc>
          <w:tcPr>
            <w:tcW w:w="1985" w:type="dxa"/>
          </w:tcPr>
          <w:p w:rsidR="001F7B9E" w:rsidRPr="000230D5" w:rsidRDefault="001F7B9E" w:rsidP="008830AD">
            <w:pPr>
              <w:jc w:val="center"/>
              <w:cnfStyle w:val="000000100000" w:firstRow="0" w:lastRow="0" w:firstColumn="0" w:lastColumn="0" w:oddVBand="0" w:evenVBand="0" w:oddHBand="1" w:evenHBand="0" w:firstRowFirstColumn="0" w:firstRowLastColumn="0" w:lastRowFirstColumn="0" w:lastRowLastColumn="0"/>
              <w:rPr>
                <w:b/>
              </w:rPr>
            </w:pPr>
            <w:r w:rsidRPr="000230D5">
              <w:rPr>
                <w:b/>
              </w:rPr>
              <w:t>Hombres</w:t>
            </w:r>
          </w:p>
        </w:tc>
        <w:tc>
          <w:tcPr>
            <w:tcW w:w="1984" w:type="dxa"/>
          </w:tcPr>
          <w:p w:rsidR="001F7B9E" w:rsidRPr="000230D5" w:rsidRDefault="001F7B9E" w:rsidP="008830AD">
            <w:pPr>
              <w:jc w:val="center"/>
              <w:cnfStyle w:val="000000100000" w:firstRow="0" w:lastRow="0" w:firstColumn="0" w:lastColumn="0" w:oddVBand="0" w:evenVBand="0" w:oddHBand="1" w:evenHBand="0" w:firstRowFirstColumn="0" w:firstRowLastColumn="0" w:lastRowFirstColumn="0" w:lastRowLastColumn="0"/>
              <w:rPr>
                <w:b/>
              </w:rPr>
            </w:pPr>
            <w:r w:rsidRPr="000230D5">
              <w:rPr>
                <w:b/>
              </w:rPr>
              <w:t>Mujeres</w:t>
            </w:r>
          </w:p>
        </w:tc>
        <w:tc>
          <w:tcPr>
            <w:tcW w:w="1887" w:type="dxa"/>
          </w:tcPr>
          <w:p w:rsidR="001F7B9E" w:rsidRPr="000230D5" w:rsidRDefault="001F7B9E" w:rsidP="008830AD">
            <w:pPr>
              <w:jc w:val="center"/>
              <w:cnfStyle w:val="000000100000" w:firstRow="0" w:lastRow="0" w:firstColumn="0" w:lastColumn="0" w:oddVBand="0" w:evenVBand="0" w:oddHBand="1" w:evenHBand="0" w:firstRowFirstColumn="0" w:firstRowLastColumn="0" w:lastRowFirstColumn="0" w:lastRowLastColumn="0"/>
              <w:rPr>
                <w:b/>
              </w:rPr>
            </w:pPr>
            <w:r w:rsidRPr="000230D5">
              <w:rPr>
                <w:b/>
              </w:rPr>
              <w:t>Total</w:t>
            </w:r>
          </w:p>
        </w:tc>
      </w:tr>
      <w:tr w:rsidR="001F7B9E" w:rsidRPr="000230D5" w:rsidTr="008830AD">
        <w:tc>
          <w:tcPr>
            <w:cnfStyle w:val="001000000000" w:firstRow="0" w:lastRow="0" w:firstColumn="1" w:lastColumn="0" w:oddVBand="0" w:evenVBand="0" w:oddHBand="0" w:evenHBand="0" w:firstRowFirstColumn="0" w:firstRowLastColumn="0" w:lastRowFirstColumn="0" w:lastRowLastColumn="0"/>
            <w:tcW w:w="2972" w:type="dxa"/>
          </w:tcPr>
          <w:p w:rsidR="001F7B9E" w:rsidRPr="000230D5" w:rsidRDefault="001F7B9E" w:rsidP="008830AD">
            <w:pPr>
              <w:jc w:val="center"/>
            </w:pPr>
            <w:r w:rsidRPr="000230D5">
              <w:t>Septiembre – diciembre 2017</w:t>
            </w:r>
          </w:p>
        </w:tc>
        <w:tc>
          <w:tcPr>
            <w:tcW w:w="1985" w:type="dxa"/>
          </w:tcPr>
          <w:p w:rsidR="001F7B9E" w:rsidRPr="000230D5" w:rsidRDefault="001F7B9E" w:rsidP="008830AD">
            <w:pPr>
              <w:jc w:val="center"/>
              <w:cnfStyle w:val="000000000000" w:firstRow="0" w:lastRow="0" w:firstColumn="0" w:lastColumn="0" w:oddVBand="0" w:evenVBand="0" w:oddHBand="0" w:evenHBand="0" w:firstRowFirstColumn="0" w:firstRowLastColumn="0" w:lastRowFirstColumn="0" w:lastRowLastColumn="0"/>
            </w:pPr>
            <w:r w:rsidRPr="000230D5">
              <w:t>438</w:t>
            </w:r>
          </w:p>
        </w:tc>
        <w:tc>
          <w:tcPr>
            <w:tcW w:w="1984" w:type="dxa"/>
          </w:tcPr>
          <w:p w:rsidR="001F7B9E" w:rsidRPr="000230D5" w:rsidRDefault="001F7B9E" w:rsidP="008830AD">
            <w:pPr>
              <w:jc w:val="center"/>
              <w:cnfStyle w:val="000000000000" w:firstRow="0" w:lastRow="0" w:firstColumn="0" w:lastColumn="0" w:oddVBand="0" w:evenVBand="0" w:oddHBand="0" w:evenHBand="0" w:firstRowFirstColumn="0" w:firstRowLastColumn="0" w:lastRowFirstColumn="0" w:lastRowLastColumn="0"/>
            </w:pPr>
            <w:r w:rsidRPr="000230D5">
              <w:t>507</w:t>
            </w:r>
          </w:p>
        </w:tc>
        <w:tc>
          <w:tcPr>
            <w:tcW w:w="1887" w:type="dxa"/>
          </w:tcPr>
          <w:p w:rsidR="001F7B9E" w:rsidRPr="000230D5" w:rsidRDefault="001F7B9E" w:rsidP="008830AD">
            <w:pPr>
              <w:jc w:val="center"/>
              <w:cnfStyle w:val="000000000000" w:firstRow="0" w:lastRow="0" w:firstColumn="0" w:lastColumn="0" w:oddVBand="0" w:evenVBand="0" w:oddHBand="0" w:evenHBand="0" w:firstRowFirstColumn="0" w:firstRowLastColumn="0" w:lastRowFirstColumn="0" w:lastRowLastColumn="0"/>
            </w:pPr>
            <w:r w:rsidRPr="000230D5">
              <w:t>945</w:t>
            </w:r>
          </w:p>
        </w:tc>
      </w:tr>
      <w:tr w:rsidR="001F7B9E" w:rsidRPr="000230D5" w:rsidTr="008830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1F7B9E" w:rsidRPr="000230D5" w:rsidRDefault="001F7B9E" w:rsidP="008830AD">
            <w:pPr>
              <w:jc w:val="center"/>
            </w:pPr>
            <w:r w:rsidRPr="000230D5">
              <w:t>Enero – agosto 2017</w:t>
            </w:r>
          </w:p>
        </w:tc>
        <w:tc>
          <w:tcPr>
            <w:tcW w:w="1985" w:type="dxa"/>
          </w:tcPr>
          <w:p w:rsidR="001F7B9E" w:rsidRPr="000230D5" w:rsidRDefault="001F7B9E" w:rsidP="008830AD">
            <w:pPr>
              <w:jc w:val="center"/>
              <w:cnfStyle w:val="000000100000" w:firstRow="0" w:lastRow="0" w:firstColumn="0" w:lastColumn="0" w:oddVBand="0" w:evenVBand="0" w:oddHBand="1" w:evenHBand="0" w:firstRowFirstColumn="0" w:firstRowLastColumn="0" w:lastRowFirstColumn="0" w:lastRowLastColumn="0"/>
            </w:pPr>
            <w:r w:rsidRPr="000230D5">
              <w:t>1,401</w:t>
            </w:r>
          </w:p>
        </w:tc>
        <w:tc>
          <w:tcPr>
            <w:tcW w:w="1984" w:type="dxa"/>
          </w:tcPr>
          <w:p w:rsidR="001F7B9E" w:rsidRPr="000230D5" w:rsidRDefault="001F7B9E" w:rsidP="008830AD">
            <w:pPr>
              <w:jc w:val="center"/>
              <w:cnfStyle w:val="000000100000" w:firstRow="0" w:lastRow="0" w:firstColumn="0" w:lastColumn="0" w:oddVBand="0" w:evenVBand="0" w:oddHBand="1" w:evenHBand="0" w:firstRowFirstColumn="0" w:firstRowLastColumn="0" w:lastRowFirstColumn="0" w:lastRowLastColumn="0"/>
            </w:pPr>
            <w:r w:rsidRPr="000230D5">
              <w:t>1,659</w:t>
            </w:r>
          </w:p>
        </w:tc>
        <w:tc>
          <w:tcPr>
            <w:tcW w:w="1887" w:type="dxa"/>
          </w:tcPr>
          <w:p w:rsidR="001F7B9E" w:rsidRPr="000230D5" w:rsidRDefault="001F7B9E" w:rsidP="008830AD">
            <w:pPr>
              <w:jc w:val="center"/>
              <w:cnfStyle w:val="000000100000" w:firstRow="0" w:lastRow="0" w:firstColumn="0" w:lastColumn="0" w:oddVBand="0" w:evenVBand="0" w:oddHBand="1" w:evenHBand="0" w:firstRowFirstColumn="0" w:firstRowLastColumn="0" w:lastRowFirstColumn="0" w:lastRowLastColumn="0"/>
            </w:pPr>
            <w:r w:rsidRPr="000230D5">
              <w:t>3,060</w:t>
            </w:r>
          </w:p>
        </w:tc>
      </w:tr>
      <w:tr w:rsidR="001F7B9E" w:rsidRPr="000230D5" w:rsidTr="008830AD">
        <w:tc>
          <w:tcPr>
            <w:cnfStyle w:val="001000000000" w:firstRow="0" w:lastRow="0" w:firstColumn="1" w:lastColumn="0" w:oddVBand="0" w:evenVBand="0" w:oddHBand="0" w:evenHBand="0" w:firstRowFirstColumn="0" w:firstRowLastColumn="0" w:lastRowFirstColumn="0" w:lastRowLastColumn="0"/>
            <w:tcW w:w="2972" w:type="dxa"/>
          </w:tcPr>
          <w:p w:rsidR="001F7B9E" w:rsidRPr="000230D5" w:rsidRDefault="001F7B9E" w:rsidP="008830AD">
            <w:pPr>
              <w:jc w:val="center"/>
            </w:pPr>
            <w:r w:rsidRPr="000230D5">
              <w:t>Total</w:t>
            </w:r>
          </w:p>
        </w:tc>
        <w:tc>
          <w:tcPr>
            <w:tcW w:w="1985" w:type="dxa"/>
          </w:tcPr>
          <w:p w:rsidR="001F7B9E" w:rsidRPr="000230D5" w:rsidRDefault="001F7B9E" w:rsidP="008830AD">
            <w:pPr>
              <w:jc w:val="center"/>
              <w:cnfStyle w:val="000000000000" w:firstRow="0" w:lastRow="0" w:firstColumn="0" w:lastColumn="0" w:oddVBand="0" w:evenVBand="0" w:oddHBand="0" w:evenHBand="0" w:firstRowFirstColumn="0" w:firstRowLastColumn="0" w:lastRowFirstColumn="0" w:lastRowLastColumn="0"/>
            </w:pPr>
            <w:r w:rsidRPr="000230D5">
              <w:t>1,839</w:t>
            </w:r>
          </w:p>
        </w:tc>
        <w:tc>
          <w:tcPr>
            <w:tcW w:w="1984" w:type="dxa"/>
          </w:tcPr>
          <w:p w:rsidR="001F7B9E" w:rsidRPr="000230D5" w:rsidRDefault="001F7B9E" w:rsidP="008830AD">
            <w:pPr>
              <w:jc w:val="center"/>
              <w:cnfStyle w:val="000000000000" w:firstRow="0" w:lastRow="0" w:firstColumn="0" w:lastColumn="0" w:oddVBand="0" w:evenVBand="0" w:oddHBand="0" w:evenHBand="0" w:firstRowFirstColumn="0" w:firstRowLastColumn="0" w:lastRowFirstColumn="0" w:lastRowLastColumn="0"/>
            </w:pPr>
            <w:r w:rsidRPr="000230D5">
              <w:t>2,166</w:t>
            </w:r>
          </w:p>
        </w:tc>
        <w:tc>
          <w:tcPr>
            <w:tcW w:w="1887" w:type="dxa"/>
          </w:tcPr>
          <w:p w:rsidR="001F7B9E" w:rsidRPr="000230D5" w:rsidRDefault="001F7B9E" w:rsidP="008830AD">
            <w:pPr>
              <w:jc w:val="center"/>
              <w:cnfStyle w:val="000000000000" w:firstRow="0" w:lastRow="0" w:firstColumn="0" w:lastColumn="0" w:oddVBand="0" w:evenVBand="0" w:oddHBand="0" w:evenHBand="0" w:firstRowFirstColumn="0" w:firstRowLastColumn="0" w:lastRowFirstColumn="0" w:lastRowLastColumn="0"/>
            </w:pPr>
            <w:r w:rsidRPr="000230D5">
              <w:t>4,005</w:t>
            </w:r>
          </w:p>
        </w:tc>
      </w:tr>
      <w:tr w:rsidR="001F7B9E" w:rsidRPr="000230D5" w:rsidTr="008830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1F7B9E" w:rsidRPr="000230D5" w:rsidRDefault="001F7B9E" w:rsidP="008830AD">
            <w:pPr>
              <w:jc w:val="center"/>
            </w:pPr>
            <w:r w:rsidRPr="000230D5">
              <w:t>Porcentaje</w:t>
            </w:r>
          </w:p>
        </w:tc>
        <w:tc>
          <w:tcPr>
            <w:tcW w:w="1985" w:type="dxa"/>
          </w:tcPr>
          <w:p w:rsidR="001F7B9E" w:rsidRPr="000230D5" w:rsidRDefault="001F7B9E" w:rsidP="008830AD">
            <w:pPr>
              <w:jc w:val="center"/>
              <w:cnfStyle w:val="000000100000" w:firstRow="0" w:lastRow="0" w:firstColumn="0" w:lastColumn="0" w:oddVBand="0" w:evenVBand="0" w:oddHBand="1" w:evenHBand="0" w:firstRowFirstColumn="0" w:firstRowLastColumn="0" w:lastRowFirstColumn="0" w:lastRowLastColumn="0"/>
            </w:pPr>
            <w:r w:rsidRPr="000230D5">
              <w:t>45.9%</w:t>
            </w:r>
          </w:p>
        </w:tc>
        <w:tc>
          <w:tcPr>
            <w:tcW w:w="1984" w:type="dxa"/>
          </w:tcPr>
          <w:p w:rsidR="001F7B9E" w:rsidRPr="000230D5" w:rsidRDefault="001F7B9E" w:rsidP="008830AD">
            <w:pPr>
              <w:jc w:val="center"/>
              <w:cnfStyle w:val="000000100000" w:firstRow="0" w:lastRow="0" w:firstColumn="0" w:lastColumn="0" w:oddVBand="0" w:evenVBand="0" w:oddHBand="1" w:evenHBand="0" w:firstRowFirstColumn="0" w:firstRowLastColumn="0" w:lastRowFirstColumn="0" w:lastRowLastColumn="0"/>
            </w:pPr>
            <w:r w:rsidRPr="000230D5">
              <w:t>54.1%</w:t>
            </w:r>
          </w:p>
        </w:tc>
        <w:tc>
          <w:tcPr>
            <w:tcW w:w="1887" w:type="dxa"/>
          </w:tcPr>
          <w:p w:rsidR="001F7B9E" w:rsidRPr="000230D5" w:rsidRDefault="001F7B9E" w:rsidP="008830AD">
            <w:pPr>
              <w:jc w:val="center"/>
              <w:cnfStyle w:val="000000100000" w:firstRow="0" w:lastRow="0" w:firstColumn="0" w:lastColumn="0" w:oddVBand="0" w:evenVBand="0" w:oddHBand="1" w:evenHBand="0" w:firstRowFirstColumn="0" w:firstRowLastColumn="0" w:lastRowFirstColumn="0" w:lastRowLastColumn="0"/>
            </w:pPr>
            <w:r w:rsidRPr="000230D5">
              <w:t>100%</w:t>
            </w:r>
          </w:p>
        </w:tc>
      </w:tr>
    </w:tbl>
    <w:p w:rsidR="001F7B9E" w:rsidRPr="001F7B9E" w:rsidRDefault="001F7B9E" w:rsidP="0046098D">
      <w:pPr>
        <w:pStyle w:val="NormalWeb"/>
        <w:shd w:val="clear" w:color="auto" w:fill="FFFFFF"/>
        <w:spacing w:after="300" w:line="276" w:lineRule="auto"/>
        <w:jc w:val="both"/>
        <w:textAlignment w:val="baseline"/>
        <w:rPr>
          <w:bCs/>
          <w:sz w:val="22"/>
          <w:szCs w:val="22"/>
          <w:bdr w:val="none" w:sz="0" w:space="0" w:color="auto" w:frame="1"/>
          <w:lang w:val="es-SV" w:eastAsia="es-SV"/>
        </w:rPr>
      </w:pPr>
    </w:p>
    <w:p w:rsidR="004F5695" w:rsidRPr="001F7B9E" w:rsidRDefault="004F5695" w:rsidP="0046098D">
      <w:pPr>
        <w:pStyle w:val="NormalWeb"/>
        <w:shd w:val="clear" w:color="auto" w:fill="FFFFFF"/>
        <w:spacing w:after="300" w:line="276" w:lineRule="auto"/>
        <w:jc w:val="both"/>
        <w:textAlignment w:val="baseline"/>
        <w:rPr>
          <w:bCs/>
          <w:sz w:val="22"/>
          <w:szCs w:val="22"/>
          <w:bdr w:val="none" w:sz="0" w:space="0" w:color="auto" w:frame="1"/>
          <w:lang w:val="es-SV" w:eastAsia="es-SV"/>
        </w:rPr>
      </w:pPr>
      <w:r w:rsidRPr="001F7B9E">
        <w:rPr>
          <w:bCs/>
          <w:sz w:val="22"/>
          <w:szCs w:val="22"/>
          <w:bdr w:val="none" w:sz="0" w:space="0" w:color="auto" w:frame="1"/>
          <w:lang w:val="es-SV" w:eastAsia="es-SV"/>
        </w:rPr>
        <w:t>Durante el 2017, la</w:t>
      </w:r>
      <w:r w:rsidR="004A1B0B" w:rsidRPr="001F7B9E">
        <w:rPr>
          <w:bCs/>
          <w:sz w:val="22"/>
          <w:szCs w:val="22"/>
          <w:bdr w:val="none" w:sz="0" w:space="0" w:color="auto" w:frame="1"/>
          <w:lang w:val="es-SV" w:eastAsia="es-SV"/>
        </w:rPr>
        <w:t xml:space="preserve"> Unidad de Estudios e Investigación</w:t>
      </w:r>
      <w:r w:rsidRPr="001F7B9E">
        <w:rPr>
          <w:bCs/>
          <w:sz w:val="22"/>
          <w:szCs w:val="22"/>
          <w:bdr w:val="none" w:sz="0" w:space="0" w:color="auto" w:frame="1"/>
          <w:lang w:val="es-SV" w:eastAsia="es-SV"/>
        </w:rPr>
        <w:t xml:space="preserve"> elaboró 2 Cuadernos de Transparencia cuyas publicaciones pretenden fortalecer el conocimiento a través de la sistematización de diferentes experiencias sobre la labor que realiza el IAIP. </w:t>
      </w:r>
    </w:p>
    <w:p w:rsidR="004F5695" w:rsidRPr="001F7B9E" w:rsidRDefault="004F5695" w:rsidP="0046098D">
      <w:pPr>
        <w:pStyle w:val="NormalWeb"/>
        <w:shd w:val="clear" w:color="auto" w:fill="FFFFFF"/>
        <w:spacing w:after="300" w:line="276" w:lineRule="auto"/>
        <w:jc w:val="both"/>
        <w:textAlignment w:val="baseline"/>
        <w:rPr>
          <w:bCs/>
          <w:sz w:val="22"/>
          <w:szCs w:val="22"/>
          <w:bdr w:val="none" w:sz="0" w:space="0" w:color="auto" w:frame="1"/>
          <w:lang w:val="es-SV" w:eastAsia="es-SV"/>
        </w:rPr>
      </w:pPr>
      <w:r w:rsidRPr="001F7B9E">
        <w:rPr>
          <w:bCs/>
          <w:sz w:val="22"/>
          <w:szCs w:val="22"/>
          <w:bdr w:val="none" w:sz="0" w:space="0" w:color="auto" w:frame="1"/>
          <w:lang w:val="es-SV" w:eastAsia="es-SV"/>
        </w:rPr>
        <w:t>En el Cuaderno 1: “Sistematización de casos sobre protección de datos personales en el IAIP” se analizaron dos casos sobre protección de datos personales resueltos por el IAIP y que marcaron un hito para la gestión pública posicionando en la agenda pública el ejercicio de los derechos ARCO (Acceso, Rectificación, Cancelación, Oposición de Datos Personales). En el Cuaderno 2, Ejercicio del Derecho de Acceso a la Información Pública desde la labor periodística, se abordó la experiencia del trabajo de la prensa en relación al uso de la LAIP.</w:t>
      </w:r>
    </w:p>
    <w:p w:rsidR="00C805DC" w:rsidRPr="001F7B9E" w:rsidRDefault="00C805DC" w:rsidP="00C805DC">
      <w:pPr>
        <w:pStyle w:val="NormalWeb"/>
        <w:shd w:val="clear" w:color="auto" w:fill="FFFFFF"/>
        <w:spacing w:after="300" w:line="276" w:lineRule="auto"/>
        <w:jc w:val="both"/>
        <w:textAlignment w:val="baseline"/>
        <w:rPr>
          <w:bCs/>
          <w:sz w:val="22"/>
          <w:szCs w:val="22"/>
          <w:bdr w:val="none" w:sz="0" w:space="0" w:color="auto" w:frame="1"/>
          <w:lang w:val="es-SV" w:eastAsia="es-SV"/>
        </w:rPr>
      </w:pPr>
      <w:r w:rsidRPr="001F7B9E">
        <w:rPr>
          <w:bCs/>
          <w:sz w:val="22"/>
          <w:szCs w:val="22"/>
          <w:bdr w:val="none" w:sz="0" w:space="0" w:color="auto" w:frame="1"/>
          <w:lang w:val="es-SV" w:eastAsia="es-SV"/>
        </w:rPr>
        <w:t>Entre 2017 y 2018, desde la Unidad de Estudios e Investigación se contribuyó en la coordinación de diferentes actividades en el marco del Proyecto GAP/ Expedientes Clínicos. Normalización de la gestión documental y la protección de datos personales en los expedientes clínicos del Sistema Nacional Integrado de Salud.</w:t>
      </w:r>
      <w:r w:rsidRPr="001F7B9E">
        <w:rPr>
          <w:sz w:val="22"/>
          <w:szCs w:val="22"/>
        </w:rPr>
        <w:t xml:space="preserve"> Se </w:t>
      </w:r>
      <w:r w:rsidRPr="001F7B9E">
        <w:rPr>
          <w:bCs/>
          <w:sz w:val="22"/>
          <w:szCs w:val="22"/>
          <w:bdr w:val="none" w:sz="0" w:space="0" w:color="auto" w:frame="1"/>
          <w:lang w:val="es-SV" w:eastAsia="es-SV"/>
        </w:rPr>
        <w:t xml:space="preserve">elaboró un Diagnóstico y se realizaron una serie de mesas de trabajo para discutir la propuesta técnica de Norma Técnica y Lineamientos para la Normalización de los Expedientes Clínicos. </w:t>
      </w:r>
    </w:p>
    <w:p w:rsidR="004F5695" w:rsidRPr="0005178D" w:rsidRDefault="00C805DC" w:rsidP="00C805DC">
      <w:pPr>
        <w:pStyle w:val="NormalWeb"/>
        <w:shd w:val="clear" w:color="auto" w:fill="FFFFFF"/>
        <w:spacing w:after="300" w:line="276" w:lineRule="auto"/>
        <w:jc w:val="both"/>
        <w:textAlignment w:val="baseline"/>
        <w:rPr>
          <w:bCs/>
          <w:sz w:val="22"/>
          <w:szCs w:val="22"/>
          <w:bdr w:val="none" w:sz="0" w:space="0" w:color="auto" w:frame="1"/>
          <w:lang w:val="es-SV" w:eastAsia="es-SV"/>
        </w:rPr>
      </w:pPr>
      <w:r w:rsidRPr="0005178D">
        <w:rPr>
          <w:bCs/>
          <w:sz w:val="22"/>
          <w:szCs w:val="22"/>
          <w:bdr w:val="none" w:sz="0" w:space="0" w:color="auto" w:frame="1"/>
          <w:lang w:val="es-SV" w:eastAsia="es-SV"/>
        </w:rPr>
        <w:t>La Unidad de Gestión Documental y Archivos ha brindado asesoría y asistencia técnica a 37 instituciones públicas, entregó Cajas de Herramientas a 37 entidades municipales y</w:t>
      </w:r>
      <w:r w:rsidRPr="0005178D">
        <w:rPr>
          <w:sz w:val="22"/>
          <w:szCs w:val="22"/>
        </w:rPr>
        <w:t xml:space="preserve"> </w:t>
      </w:r>
      <w:r w:rsidRPr="0005178D">
        <w:rPr>
          <w:bCs/>
          <w:sz w:val="22"/>
          <w:szCs w:val="22"/>
          <w:bdr w:val="none" w:sz="0" w:space="0" w:color="auto" w:frame="1"/>
          <w:lang w:val="es-SV" w:eastAsia="es-SV"/>
        </w:rPr>
        <w:t>se capacitó a servidores públicos.</w:t>
      </w:r>
    </w:p>
    <w:p w:rsidR="0005178D" w:rsidRPr="00DB7B1B" w:rsidRDefault="0005178D" w:rsidP="00C805DC">
      <w:pPr>
        <w:pStyle w:val="NormalWeb"/>
        <w:shd w:val="clear" w:color="auto" w:fill="FFFFFF"/>
        <w:spacing w:after="300" w:line="276" w:lineRule="auto"/>
        <w:jc w:val="both"/>
        <w:textAlignment w:val="baseline"/>
        <w:rPr>
          <w:b/>
          <w:bCs/>
          <w:sz w:val="22"/>
          <w:szCs w:val="22"/>
          <w:bdr w:val="none" w:sz="0" w:space="0" w:color="auto" w:frame="1"/>
          <w:lang w:val="es-SV" w:eastAsia="es-SV"/>
        </w:rPr>
      </w:pPr>
      <w:r>
        <w:rPr>
          <w:b/>
          <w:bCs/>
          <w:sz w:val="22"/>
          <w:szCs w:val="22"/>
          <w:bdr w:val="none" w:sz="0" w:space="0" w:color="auto" w:frame="1"/>
          <w:lang w:val="es-SV" w:eastAsia="es-SV"/>
        </w:rPr>
        <w:t>Fiscalización</w:t>
      </w:r>
    </w:p>
    <w:p w:rsidR="00AE3262" w:rsidRPr="0005178D" w:rsidRDefault="00AE3262" w:rsidP="00C805DC">
      <w:pPr>
        <w:pStyle w:val="NormalWeb"/>
        <w:shd w:val="clear" w:color="auto" w:fill="FFFFFF"/>
        <w:spacing w:after="300" w:line="276" w:lineRule="auto"/>
        <w:jc w:val="both"/>
        <w:textAlignment w:val="baseline"/>
        <w:rPr>
          <w:bCs/>
          <w:sz w:val="22"/>
          <w:szCs w:val="22"/>
          <w:bdr w:val="none" w:sz="0" w:space="0" w:color="auto" w:frame="1"/>
          <w:lang w:val="es-SV" w:eastAsia="es-SV"/>
        </w:rPr>
      </w:pPr>
      <w:r w:rsidRPr="0005178D">
        <w:rPr>
          <w:bCs/>
          <w:sz w:val="22"/>
          <w:szCs w:val="22"/>
          <w:bdr w:val="none" w:sz="0" w:space="0" w:color="auto" w:frame="1"/>
          <w:lang w:val="es-SV" w:eastAsia="es-SV"/>
        </w:rPr>
        <w:t>Entre julio 2017 y marzo 2018 el Instituto llevó a cabo la fiscalización de transparencia institucional en entes no municipales, 97 instituciones se sometieron a este ejercicio, siendo en esta ocasión la primera vez que se evaluó al cien por ciento de entes no municipales registrados.</w:t>
      </w:r>
    </w:p>
    <w:p w:rsidR="008954CB" w:rsidRDefault="008954CB" w:rsidP="00160A8D">
      <w:pPr>
        <w:jc w:val="both"/>
        <w:rPr>
          <w:rFonts w:ascii="Times New Roman" w:hAnsi="Times New Roman" w:cs="Times New Roman"/>
        </w:rPr>
      </w:pPr>
      <w:r w:rsidRPr="008954CB">
        <w:rPr>
          <w:rFonts w:ascii="Times New Roman" w:hAnsi="Times New Roman" w:cs="Times New Roman"/>
        </w:rPr>
        <w:t>Los resultados obtenidos reflejaron una leve mejora de parte de los entes obligados, la nota promedio se ubicó en 6.13 puntos, es decir que se presentó un incremento de 0.51 puntos en la nota global. La institución mejor evaluada fue el Fondo Social para la Vivienda que obtuvo una calificación global de 9.83.</w:t>
      </w:r>
    </w:p>
    <w:p w:rsidR="00C66F65" w:rsidRPr="008954CB" w:rsidRDefault="00C66F65" w:rsidP="008954CB">
      <w:pPr>
        <w:ind w:firstLine="360"/>
        <w:jc w:val="both"/>
        <w:rPr>
          <w:rFonts w:ascii="Times New Roman" w:hAnsi="Times New Roman" w:cs="Times New Roman"/>
        </w:rPr>
      </w:pPr>
    </w:p>
    <w:tbl>
      <w:tblPr>
        <w:tblW w:w="0" w:type="auto"/>
        <w:jc w:val="center"/>
        <w:tblCellMar>
          <w:left w:w="70" w:type="dxa"/>
          <w:right w:w="70" w:type="dxa"/>
        </w:tblCellMar>
        <w:tblLook w:val="04A0" w:firstRow="1" w:lastRow="0" w:firstColumn="1" w:lastColumn="0" w:noHBand="0" w:noVBand="1"/>
      </w:tblPr>
      <w:tblGrid>
        <w:gridCol w:w="900"/>
        <w:gridCol w:w="1101"/>
        <w:gridCol w:w="788"/>
        <w:gridCol w:w="900"/>
        <w:gridCol w:w="1335"/>
        <w:gridCol w:w="788"/>
      </w:tblGrid>
      <w:tr w:rsidR="00F80647" w:rsidRPr="00722A2A" w:rsidTr="008830AD">
        <w:trPr>
          <w:trHeight w:val="315"/>
          <w:jc w:val="center"/>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0647" w:rsidRPr="00722A2A" w:rsidRDefault="00F80647" w:rsidP="008830AD">
            <w:pPr>
              <w:spacing w:after="0" w:line="240" w:lineRule="auto"/>
              <w:jc w:val="center"/>
              <w:rPr>
                <w:rFonts w:ascii="Calibri" w:eastAsia="Times New Roman" w:hAnsi="Calibri" w:cs="Times New Roman"/>
                <w:color w:val="000000"/>
                <w:lang w:eastAsia="es-SV"/>
              </w:rPr>
            </w:pPr>
            <w:r w:rsidRPr="00722A2A">
              <w:rPr>
                <w:rFonts w:ascii="Calibri" w:eastAsia="Times New Roman" w:hAnsi="Calibri" w:cs="Times New Roman"/>
                <w:color w:val="000000"/>
                <w:lang w:eastAsia="es-SV"/>
              </w:rPr>
              <w:lastRenderedPageBreak/>
              <w:t xml:space="preserve">10 calificaciones más altas </w:t>
            </w:r>
          </w:p>
        </w:tc>
        <w:tc>
          <w:tcPr>
            <w:tcW w:w="0" w:type="auto"/>
            <w:gridSpan w:val="3"/>
            <w:tcBorders>
              <w:top w:val="single" w:sz="4" w:space="0" w:color="auto"/>
              <w:left w:val="nil"/>
              <w:bottom w:val="single" w:sz="4" w:space="0" w:color="auto"/>
              <w:right w:val="single" w:sz="4" w:space="0" w:color="auto"/>
            </w:tcBorders>
            <w:shd w:val="clear" w:color="auto" w:fill="auto"/>
            <w:noWrap/>
            <w:vAlign w:val="bottom"/>
            <w:hideMark/>
          </w:tcPr>
          <w:p w:rsidR="00F80647" w:rsidRPr="00722A2A" w:rsidRDefault="00F80647" w:rsidP="008830AD">
            <w:pPr>
              <w:spacing w:after="0" w:line="240" w:lineRule="auto"/>
              <w:jc w:val="center"/>
              <w:rPr>
                <w:rFonts w:ascii="Calibri" w:eastAsia="Times New Roman" w:hAnsi="Calibri" w:cs="Times New Roman"/>
                <w:color w:val="000000"/>
                <w:lang w:eastAsia="es-SV"/>
              </w:rPr>
            </w:pPr>
            <w:r w:rsidRPr="00722A2A">
              <w:rPr>
                <w:rFonts w:ascii="Calibri" w:eastAsia="Times New Roman" w:hAnsi="Calibri" w:cs="Times New Roman"/>
                <w:color w:val="000000"/>
                <w:lang w:eastAsia="es-SV"/>
              </w:rPr>
              <w:t xml:space="preserve">10 calificaciones más bajas </w:t>
            </w:r>
          </w:p>
        </w:tc>
      </w:tr>
      <w:tr w:rsidR="00F80647" w:rsidRPr="00722A2A" w:rsidTr="008830AD">
        <w:trPr>
          <w:trHeight w:val="330"/>
          <w:jc w:val="center"/>
        </w:trPr>
        <w:tc>
          <w:tcPr>
            <w:tcW w:w="0" w:type="auto"/>
            <w:tcBorders>
              <w:top w:val="nil"/>
              <w:left w:val="single" w:sz="8" w:space="0" w:color="4472C4"/>
              <w:bottom w:val="single" w:sz="8" w:space="0" w:color="4472C4"/>
              <w:right w:val="nil"/>
            </w:tcBorders>
            <w:shd w:val="clear" w:color="000000" w:fill="002060"/>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FFFFFF"/>
                <w:lang w:eastAsia="es-SV"/>
              </w:rPr>
            </w:pPr>
            <w:r w:rsidRPr="00722A2A">
              <w:rPr>
                <w:rFonts w:ascii="Calibri" w:eastAsia="Times New Roman" w:hAnsi="Calibri" w:cs="Times New Roman"/>
                <w:b/>
                <w:bCs/>
                <w:color w:val="FFFFFF"/>
                <w:lang w:eastAsia="es-SV"/>
              </w:rPr>
              <w:t>Posición</w:t>
            </w:r>
          </w:p>
        </w:tc>
        <w:tc>
          <w:tcPr>
            <w:tcW w:w="0" w:type="auto"/>
            <w:tcBorders>
              <w:top w:val="nil"/>
              <w:left w:val="nil"/>
              <w:bottom w:val="single" w:sz="8" w:space="0" w:color="4472C4"/>
              <w:right w:val="nil"/>
            </w:tcBorders>
            <w:shd w:val="clear" w:color="000000" w:fill="002060"/>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FFFFFF"/>
                <w:lang w:eastAsia="es-SV"/>
              </w:rPr>
            </w:pPr>
            <w:r w:rsidRPr="00722A2A">
              <w:rPr>
                <w:rFonts w:ascii="Calibri" w:eastAsia="Times New Roman" w:hAnsi="Calibri" w:cs="Times New Roman"/>
                <w:b/>
                <w:bCs/>
                <w:color w:val="FFFFFF"/>
                <w:lang w:eastAsia="es-SV"/>
              </w:rPr>
              <w:t>Ente</w:t>
            </w:r>
          </w:p>
        </w:tc>
        <w:tc>
          <w:tcPr>
            <w:tcW w:w="0" w:type="auto"/>
            <w:tcBorders>
              <w:top w:val="nil"/>
              <w:left w:val="nil"/>
              <w:bottom w:val="single" w:sz="8" w:space="0" w:color="4472C4"/>
              <w:right w:val="single" w:sz="8" w:space="0" w:color="4472C4"/>
            </w:tcBorders>
            <w:shd w:val="clear" w:color="000000" w:fill="002060"/>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FFFFFF"/>
                <w:sz w:val="24"/>
                <w:szCs w:val="24"/>
                <w:lang w:eastAsia="es-SV"/>
              </w:rPr>
            </w:pPr>
            <w:r w:rsidRPr="00722A2A">
              <w:rPr>
                <w:rFonts w:ascii="Calibri" w:eastAsia="Times New Roman" w:hAnsi="Calibri" w:cs="Times New Roman"/>
                <w:b/>
                <w:bCs/>
                <w:color w:val="FFFFFF"/>
                <w:sz w:val="24"/>
                <w:szCs w:val="24"/>
                <w:lang w:eastAsia="es-SV"/>
              </w:rPr>
              <w:t>Global</w:t>
            </w:r>
          </w:p>
        </w:tc>
        <w:tc>
          <w:tcPr>
            <w:tcW w:w="0" w:type="auto"/>
            <w:tcBorders>
              <w:top w:val="nil"/>
              <w:left w:val="nil"/>
              <w:bottom w:val="single" w:sz="8" w:space="0" w:color="4472C4"/>
              <w:right w:val="nil"/>
            </w:tcBorders>
            <w:shd w:val="clear" w:color="000000" w:fill="002060"/>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FFFFFF"/>
                <w:lang w:eastAsia="es-SV"/>
              </w:rPr>
            </w:pPr>
            <w:r w:rsidRPr="00722A2A">
              <w:rPr>
                <w:rFonts w:ascii="Calibri" w:eastAsia="Times New Roman" w:hAnsi="Calibri" w:cs="Times New Roman"/>
                <w:b/>
                <w:bCs/>
                <w:color w:val="FFFFFF"/>
                <w:lang w:eastAsia="es-SV"/>
              </w:rPr>
              <w:t>Posición</w:t>
            </w:r>
          </w:p>
        </w:tc>
        <w:tc>
          <w:tcPr>
            <w:tcW w:w="0" w:type="auto"/>
            <w:tcBorders>
              <w:top w:val="nil"/>
              <w:left w:val="nil"/>
              <w:bottom w:val="single" w:sz="8" w:space="0" w:color="4472C4"/>
              <w:right w:val="nil"/>
            </w:tcBorders>
            <w:shd w:val="clear" w:color="000000" w:fill="002060"/>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FFFFFF"/>
                <w:lang w:eastAsia="es-SV"/>
              </w:rPr>
            </w:pPr>
            <w:r w:rsidRPr="00722A2A">
              <w:rPr>
                <w:rFonts w:ascii="Calibri" w:eastAsia="Times New Roman" w:hAnsi="Calibri" w:cs="Times New Roman"/>
                <w:b/>
                <w:bCs/>
                <w:color w:val="FFFFFF"/>
                <w:lang w:eastAsia="es-SV"/>
              </w:rPr>
              <w:t>Ente</w:t>
            </w:r>
          </w:p>
        </w:tc>
        <w:tc>
          <w:tcPr>
            <w:tcW w:w="0" w:type="auto"/>
            <w:tcBorders>
              <w:top w:val="nil"/>
              <w:left w:val="nil"/>
              <w:bottom w:val="single" w:sz="8" w:space="0" w:color="4472C4"/>
              <w:right w:val="single" w:sz="8" w:space="0" w:color="4472C4"/>
            </w:tcBorders>
            <w:shd w:val="clear" w:color="000000" w:fill="002060"/>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FFFFFF"/>
                <w:sz w:val="24"/>
                <w:szCs w:val="24"/>
                <w:lang w:eastAsia="es-SV"/>
              </w:rPr>
            </w:pPr>
            <w:r w:rsidRPr="00722A2A">
              <w:rPr>
                <w:rFonts w:ascii="Calibri" w:eastAsia="Times New Roman" w:hAnsi="Calibri" w:cs="Times New Roman"/>
                <w:b/>
                <w:bCs/>
                <w:color w:val="FFFFFF"/>
                <w:sz w:val="24"/>
                <w:szCs w:val="24"/>
                <w:lang w:eastAsia="es-SV"/>
              </w:rPr>
              <w:t>Global</w:t>
            </w:r>
          </w:p>
        </w:tc>
      </w:tr>
      <w:tr w:rsidR="00F80647" w:rsidRPr="00722A2A" w:rsidTr="008830AD">
        <w:trPr>
          <w:trHeight w:val="330"/>
          <w:jc w:val="center"/>
        </w:trPr>
        <w:tc>
          <w:tcPr>
            <w:tcW w:w="0" w:type="auto"/>
            <w:tcBorders>
              <w:top w:val="nil"/>
              <w:left w:val="single" w:sz="8" w:space="0" w:color="8EAADB"/>
              <w:bottom w:val="single" w:sz="8" w:space="0" w:color="8EAADB"/>
              <w:right w:val="nil"/>
            </w:tcBorders>
            <w:shd w:val="clear" w:color="000000" w:fill="D9E2F3"/>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000000"/>
                <w:lang w:eastAsia="es-SV"/>
              </w:rPr>
            </w:pPr>
            <w:r w:rsidRPr="00722A2A">
              <w:rPr>
                <w:rFonts w:ascii="Calibri" w:eastAsia="Times New Roman" w:hAnsi="Calibri" w:cs="Times New Roman"/>
                <w:b/>
                <w:bCs/>
                <w:color w:val="000000"/>
                <w:lang w:eastAsia="es-SV"/>
              </w:rPr>
              <w:t>1</w:t>
            </w:r>
          </w:p>
        </w:tc>
        <w:tc>
          <w:tcPr>
            <w:tcW w:w="0" w:type="auto"/>
            <w:tcBorders>
              <w:top w:val="nil"/>
              <w:left w:val="nil"/>
              <w:bottom w:val="single" w:sz="8" w:space="0" w:color="8EAADB"/>
              <w:right w:val="nil"/>
            </w:tcBorders>
            <w:shd w:val="clear" w:color="000000" w:fill="D9E2F3"/>
            <w:noWrap/>
            <w:vAlign w:val="center"/>
            <w:hideMark/>
          </w:tcPr>
          <w:p w:rsidR="00F80647" w:rsidRPr="00722A2A" w:rsidRDefault="00F80647" w:rsidP="008830AD">
            <w:pPr>
              <w:spacing w:after="0" w:line="240" w:lineRule="auto"/>
              <w:rPr>
                <w:rFonts w:ascii="Calibri" w:eastAsia="Times New Roman" w:hAnsi="Calibri" w:cs="Times New Roman"/>
                <w:color w:val="000000"/>
                <w:lang w:eastAsia="es-SV"/>
              </w:rPr>
            </w:pPr>
            <w:r w:rsidRPr="00722A2A">
              <w:rPr>
                <w:rFonts w:ascii="Calibri" w:eastAsia="Times New Roman" w:hAnsi="Calibri" w:cs="Times New Roman"/>
                <w:color w:val="000000"/>
                <w:lang w:eastAsia="es-SV"/>
              </w:rPr>
              <w:t>FSV</w:t>
            </w:r>
          </w:p>
        </w:tc>
        <w:tc>
          <w:tcPr>
            <w:tcW w:w="0" w:type="auto"/>
            <w:tcBorders>
              <w:top w:val="nil"/>
              <w:left w:val="nil"/>
              <w:bottom w:val="single" w:sz="8" w:space="0" w:color="8EAADB"/>
              <w:right w:val="single" w:sz="8" w:space="0" w:color="8EAADB"/>
            </w:tcBorders>
            <w:shd w:val="clear" w:color="000000" w:fill="D9E2F3"/>
            <w:noWrap/>
            <w:vAlign w:val="center"/>
            <w:hideMark/>
          </w:tcPr>
          <w:p w:rsidR="00F80647" w:rsidRPr="00722A2A" w:rsidRDefault="00F80647" w:rsidP="008830AD">
            <w:pPr>
              <w:spacing w:after="0" w:line="240" w:lineRule="auto"/>
              <w:jc w:val="center"/>
              <w:rPr>
                <w:rFonts w:ascii="Calibri" w:eastAsia="Times New Roman" w:hAnsi="Calibri" w:cs="Times New Roman"/>
                <w:color w:val="000000"/>
                <w:sz w:val="24"/>
                <w:szCs w:val="24"/>
                <w:lang w:eastAsia="es-SV"/>
              </w:rPr>
            </w:pPr>
            <w:r w:rsidRPr="00722A2A">
              <w:rPr>
                <w:rFonts w:ascii="Calibri" w:eastAsia="Times New Roman" w:hAnsi="Calibri" w:cs="Times New Roman"/>
                <w:color w:val="000000"/>
                <w:sz w:val="24"/>
                <w:szCs w:val="24"/>
                <w:lang w:eastAsia="es-SV"/>
              </w:rPr>
              <w:t>9.83</w:t>
            </w:r>
          </w:p>
        </w:tc>
        <w:tc>
          <w:tcPr>
            <w:tcW w:w="0" w:type="auto"/>
            <w:tcBorders>
              <w:top w:val="nil"/>
              <w:left w:val="nil"/>
              <w:bottom w:val="single" w:sz="8" w:space="0" w:color="8EAADB"/>
              <w:right w:val="nil"/>
            </w:tcBorders>
            <w:shd w:val="clear" w:color="000000" w:fill="D9E2F3"/>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000000"/>
                <w:lang w:eastAsia="es-SV"/>
              </w:rPr>
            </w:pPr>
            <w:r w:rsidRPr="00722A2A">
              <w:rPr>
                <w:rFonts w:ascii="Calibri" w:eastAsia="Times New Roman" w:hAnsi="Calibri" w:cs="Times New Roman"/>
                <w:b/>
                <w:bCs/>
                <w:color w:val="000000"/>
                <w:lang w:eastAsia="es-SV"/>
              </w:rPr>
              <w:t>87</w:t>
            </w:r>
          </w:p>
        </w:tc>
        <w:tc>
          <w:tcPr>
            <w:tcW w:w="0" w:type="auto"/>
            <w:tcBorders>
              <w:top w:val="nil"/>
              <w:left w:val="nil"/>
              <w:bottom w:val="single" w:sz="8" w:space="0" w:color="8EAADB"/>
              <w:right w:val="nil"/>
            </w:tcBorders>
            <w:shd w:val="clear" w:color="000000" w:fill="D9E2F3"/>
            <w:noWrap/>
            <w:vAlign w:val="center"/>
            <w:hideMark/>
          </w:tcPr>
          <w:p w:rsidR="00F80647" w:rsidRPr="00722A2A" w:rsidRDefault="00F80647" w:rsidP="008830AD">
            <w:pPr>
              <w:spacing w:after="0" w:line="240" w:lineRule="auto"/>
              <w:rPr>
                <w:rFonts w:ascii="Calibri" w:eastAsia="Times New Roman" w:hAnsi="Calibri" w:cs="Times New Roman"/>
                <w:color w:val="000000"/>
                <w:lang w:eastAsia="es-SV"/>
              </w:rPr>
            </w:pPr>
            <w:r w:rsidRPr="00722A2A">
              <w:rPr>
                <w:rFonts w:ascii="Calibri" w:eastAsia="Times New Roman" w:hAnsi="Calibri" w:cs="Times New Roman"/>
                <w:color w:val="000000"/>
                <w:lang w:eastAsia="es-SV"/>
              </w:rPr>
              <w:t>INJUVE</w:t>
            </w:r>
          </w:p>
        </w:tc>
        <w:tc>
          <w:tcPr>
            <w:tcW w:w="0" w:type="auto"/>
            <w:tcBorders>
              <w:top w:val="nil"/>
              <w:left w:val="nil"/>
              <w:bottom w:val="single" w:sz="8" w:space="0" w:color="8EAADB"/>
              <w:right w:val="single" w:sz="8" w:space="0" w:color="8EAADB"/>
            </w:tcBorders>
            <w:shd w:val="clear" w:color="000000" w:fill="D9E2F3"/>
            <w:noWrap/>
            <w:vAlign w:val="center"/>
            <w:hideMark/>
          </w:tcPr>
          <w:p w:rsidR="00F80647" w:rsidRPr="00722A2A" w:rsidRDefault="00F80647" w:rsidP="008830AD">
            <w:pPr>
              <w:spacing w:after="0" w:line="240" w:lineRule="auto"/>
              <w:jc w:val="center"/>
              <w:rPr>
                <w:rFonts w:ascii="Calibri" w:eastAsia="Times New Roman" w:hAnsi="Calibri" w:cs="Times New Roman"/>
                <w:color w:val="000000"/>
                <w:sz w:val="24"/>
                <w:szCs w:val="24"/>
                <w:lang w:eastAsia="es-SV"/>
              </w:rPr>
            </w:pPr>
            <w:r w:rsidRPr="00722A2A">
              <w:rPr>
                <w:rFonts w:ascii="Calibri" w:eastAsia="Times New Roman" w:hAnsi="Calibri" w:cs="Times New Roman"/>
                <w:color w:val="000000"/>
                <w:sz w:val="24"/>
                <w:szCs w:val="24"/>
                <w:lang w:eastAsia="es-SV"/>
              </w:rPr>
              <w:t>3.07</w:t>
            </w:r>
          </w:p>
        </w:tc>
      </w:tr>
      <w:tr w:rsidR="00F80647" w:rsidRPr="00722A2A" w:rsidTr="008830AD">
        <w:trPr>
          <w:trHeight w:val="330"/>
          <w:jc w:val="center"/>
        </w:trPr>
        <w:tc>
          <w:tcPr>
            <w:tcW w:w="0" w:type="auto"/>
            <w:tcBorders>
              <w:top w:val="nil"/>
              <w:left w:val="single" w:sz="8" w:space="0" w:color="8EAADB"/>
              <w:bottom w:val="single" w:sz="8" w:space="0" w:color="8EAADB"/>
              <w:right w:val="nil"/>
            </w:tcBorders>
            <w:shd w:val="clear" w:color="auto" w:fill="auto"/>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000000"/>
                <w:lang w:eastAsia="es-SV"/>
              </w:rPr>
            </w:pPr>
            <w:r w:rsidRPr="00722A2A">
              <w:rPr>
                <w:rFonts w:ascii="Calibri" w:eastAsia="Times New Roman" w:hAnsi="Calibri" w:cs="Times New Roman"/>
                <w:b/>
                <w:bCs/>
                <w:color w:val="000000"/>
                <w:lang w:eastAsia="es-SV"/>
              </w:rPr>
              <w:t>2</w:t>
            </w:r>
          </w:p>
        </w:tc>
        <w:tc>
          <w:tcPr>
            <w:tcW w:w="0" w:type="auto"/>
            <w:tcBorders>
              <w:top w:val="nil"/>
              <w:left w:val="nil"/>
              <w:bottom w:val="single" w:sz="8" w:space="0" w:color="8EAADB"/>
              <w:right w:val="nil"/>
            </w:tcBorders>
            <w:shd w:val="clear" w:color="auto" w:fill="auto"/>
            <w:noWrap/>
            <w:vAlign w:val="center"/>
            <w:hideMark/>
          </w:tcPr>
          <w:p w:rsidR="00F80647" w:rsidRPr="00722A2A" w:rsidRDefault="00F80647" w:rsidP="008830AD">
            <w:pPr>
              <w:spacing w:after="0" w:line="240" w:lineRule="auto"/>
              <w:rPr>
                <w:rFonts w:ascii="Calibri" w:eastAsia="Times New Roman" w:hAnsi="Calibri" w:cs="Times New Roman"/>
                <w:color w:val="000000"/>
                <w:lang w:eastAsia="es-SV"/>
              </w:rPr>
            </w:pPr>
            <w:r w:rsidRPr="00722A2A">
              <w:rPr>
                <w:rFonts w:ascii="Calibri" w:eastAsia="Times New Roman" w:hAnsi="Calibri" w:cs="Times New Roman"/>
                <w:color w:val="000000"/>
                <w:lang w:eastAsia="es-SV"/>
              </w:rPr>
              <w:t>FOPROLYD</w:t>
            </w:r>
          </w:p>
        </w:tc>
        <w:tc>
          <w:tcPr>
            <w:tcW w:w="0" w:type="auto"/>
            <w:tcBorders>
              <w:top w:val="nil"/>
              <w:left w:val="nil"/>
              <w:bottom w:val="single" w:sz="8" w:space="0" w:color="8EAADB"/>
              <w:right w:val="single" w:sz="8" w:space="0" w:color="8EAADB"/>
            </w:tcBorders>
            <w:shd w:val="clear" w:color="auto" w:fill="auto"/>
            <w:noWrap/>
            <w:vAlign w:val="center"/>
            <w:hideMark/>
          </w:tcPr>
          <w:p w:rsidR="00F80647" w:rsidRPr="00722A2A" w:rsidRDefault="00F80647" w:rsidP="008830AD">
            <w:pPr>
              <w:spacing w:after="0" w:line="240" w:lineRule="auto"/>
              <w:jc w:val="center"/>
              <w:rPr>
                <w:rFonts w:ascii="Calibri" w:eastAsia="Times New Roman" w:hAnsi="Calibri" w:cs="Times New Roman"/>
                <w:color w:val="000000"/>
                <w:sz w:val="24"/>
                <w:szCs w:val="24"/>
                <w:lang w:eastAsia="es-SV"/>
              </w:rPr>
            </w:pPr>
            <w:r w:rsidRPr="00722A2A">
              <w:rPr>
                <w:rFonts w:ascii="Calibri" w:eastAsia="Times New Roman" w:hAnsi="Calibri" w:cs="Times New Roman"/>
                <w:color w:val="000000"/>
                <w:sz w:val="24"/>
                <w:szCs w:val="24"/>
                <w:lang w:eastAsia="es-SV"/>
              </w:rPr>
              <w:t>9.47</w:t>
            </w:r>
          </w:p>
        </w:tc>
        <w:tc>
          <w:tcPr>
            <w:tcW w:w="0" w:type="auto"/>
            <w:tcBorders>
              <w:top w:val="nil"/>
              <w:left w:val="nil"/>
              <w:bottom w:val="single" w:sz="8" w:space="0" w:color="8EAADB"/>
              <w:right w:val="nil"/>
            </w:tcBorders>
            <w:shd w:val="clear" w:color="auto" w:fill="auto"/>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000000"/>
                <w:lang w:eastAsia="es-SV"/>
              </w:rPr>
            </w:pPr>
            <w:r w:rsidRPr="00722A2A">
              <w:rPr>
                <w:rFonts w:ascii="Calibri" w:eastAsia="Times New Roman" w:hAnsi="Calibri" w:cs="Times New Roman"/>
                <w:b/>
                <w:bCs/>
                <w:color w:val="000000"/>
                <w:lang w:eastAsia="es-SV"/>
              </w:rPr>
              <w:t>88</w:t>
            </w:r>
          </w:p>
        </w:tc>
        <w:tc>
          <w:tcPr>
            <w:tcW w:w="0" w:type="auto"/>
            <w:tcBorders>
              <w:top w:val="nil"/>
              <w:left w:val="nil"/>
              <w:bottom w:val="single" w:sz="8" w:space="0" w:color="8EAADB"/>
              <w:right w:val="nil"/>
            </w:tcBorders>
            <w:shd w:val="clear" w:color="auto" w:fill="auto"/>
            <w:noWrap/>
            <w:vAlign w:val="center"/>
            <w:hideMark/>
          </w:tcPr>
          <w:p w:rsidR="00F80647" w:rsidRPr="00722A2A" w:rsidRDefault="00F80647" w:rsidP="008830AD">
            <w:pPr>
              <w:spacing w:after="0" w:line="240" w:lineRule="auto"/>
              <w:rPr>
                <w:rFonts w:ascii="Calibri" w:eastAsia="Times New Roman" w:hAnsi="Calibri" w:cs="Times New Roman"/>
                <w:color w:val="000000"/>
                <w:lang w:eastAsia="es-SV"/>
              </w:rPr>
            </w:pPr>
            <w:r w:rsidRPr="00722A2A">
              <w:rPr>
                <w:rFonts w:ascii="Calibri" w:eastAsia="Times New Roman" w:hAnsi="Calibri" w:cs="Times New Roman"/>
                <w:color w:val="000000"/>
                <w:lang w:eastAsia="es-SV"/>
              </w:rPr>
              <w:t>CEL</w:t>
            </w:r>
          </w:p>
        </w:tc>
        <w:tc>
          <w:tcPr>
            <w:tcW w:w="0" w:type="auto"/>
            <w:tcBorders>
              <w:top w:val="nil"/>
              <w:left w:val="nil"/>
              <w:bottom w:val="single" w:sz="8" w:space="0" w:color="8EAADB"/>
              <w:right w:val="single" w:sz="8" w:space="0" w:color="8EAADB"/>
            </w:tcBorders>
            <w:shd w:val="clear" w:color="auto" w:fill="auto"/>
            <w:noWrap/>
            <w:vAlign w:val="center"/>
            <w:hideMark/>
          </w:tcPr>
          <w:p w:rsidR="00F80647" w:rsidRPr="00722A2A" w:rsidRDefault="00F80647" w:rsidP="008830AD">
            <w:pPr>
              <w:spacing w:after="0" w:line="240" w:lineRule="auto"/>
              <w:jc w:val="center"/>
              <w:rPr>
                <w:rFonts w:ascii="Calibri" w:eastAsia="Times New Roman" w:hAnsi="Calibri" w:cs="Times New Roman"/>
                <w:color w:val="000000"/>
                <w:sz w:val="24"/>
                <w:szCs w:val="24"/>
                <w:lang w:eastAsia="es-SV"/>
              </w:rPr>
            </w:pPr>
            <w:r w:rsidRPr="00722A2A">
              <w:rPr>
                <w:rFonts w:ascii="Calibri" w:eastAsia="Times New Roman" w:hAnsi="Calibri" w:cs="Times New Roman"/>
                <w:color w:val="000000"/>
                <w:sz w:val="24"/>
                <w:szCs w:val="24"/>
                <w:lang w:eastAsia="es-SV"/>
              </w:rPr>
              <w:t>2.95</w:t>
            </w:r>
          </w:p>
        </w:tc>
      </w:tr>
      <w:tr w:rsidR="00F80647" w:rsidRPr="00722A2A" w:rsidTr="008830AD">
        <w:trPr>
          <w:trHeight w:val="330"/>
          <w:jc w:val="center"/>
        </w:trPr>
        <w:tc>
          <w:tcPr>
            <w:tcW w:w="0" w:type="auto"/>
            <w:tcBorders>
              <w:top w:val="nil"/>
              <w:left w:val="single" w:sz="8" w:space="0" w:color="8EAADB"/>
              <w:bottom w:val="single" w:sz="8" w:space="0" w:color="8EAADB"/>
              <w:right w:val="nil"/>
            </w:tcBorders>
            <w:shd w:val="clear" w:color="000000" w:fill="D9E2F3"/>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000000"/>
                <w:lang w:eastAsia="es-SV"/>
              </w:rPr>
            </w:pPr>
            <w:r w:rsidRPr="00722A2A">
              <w:rPr>
                <w:rFonts w:ascii="Calibri" w:eastAsia="Times New Roman" w:hAnsi="Calibri" w:cs="Times New Roman"/>
                <w:b/>
                <w:bCs/>
                <w:color w:val="000000"/>
                <w:lang w:eastAsia="es-SV"/>
              </w:rPr>
              <w:t>3</w:t>
            </w:r>
          </w:p>
        </w:tc>
        <w:tc>
          <w:tcPr>
            <w:tcW w:w="0" w:type="auto"/>
            <w:tcBorders>
              <w:top w:val="nil"/>
              <w:left w:val="nil"/>
              <w:bottom w:val="single" w:sz="8" w:space="0" w:color="8EAADB"/>
              <w:right w:val="nil"/>
            </w:tcBorders>
            <w:shd w:val="clear" w:color="000000" w:fill="D9E2F3"/>
            <w:noWrap/>
            <w:vAlign w:val="center"/>
            <w:hideMark/>
          </w:tcPr>
          <w:p w:rsidR="00F80647" w:rsidRPr="00722A2A" w:rsidRDefault="00F80647" w:rsidP="008830AD">
            <w:pPr>
              <w:spacing w:after="0" w:line="240" w:lineRule="auto"/>
              <w:rPr>
                <w:rFonts w:ascii="Calibri" w:eastAsia="Times New Roman" w:hAnsi="Calibri" w:cs="Times New Roman"/>
                <w:color w:val="000000"/>
                <w:lang w:eastAsia="es-SV"/>
              </w:rPr>
            </w:pPr>
            <w:r w:rsidRPr="00722A2A">
              <w:rPr>
                <w:rFonts w:ascii="Calibri" w:eastAsia="Times New Roman" w:hAnsi="Calibri" w:cs="Times New Roman"/>
                <w:color w:val="000000"/>
                <w:lang w:eastAsia="es-SV"/>
              </w:rPr>
              <w:t>CNR</w:t>
            </w:r>
          </w:p>
        </w:tc>
        <w:tc>
          <w:tcPr>
            <w:tcW w:w="0" w:type="auto"/>
            <w:tcBorders>
              <w:top w:val="nil"/>
              <w:left w:val="nil"/>
              <w:bottom w:val="single" w:sz="8" w:space="0" w:color="8EAADB"/>
              <w:right w:val="single" w:sz="8" w:space="0" w:color="8EAADB"/>
            </w:tcBorders>
            <w:shd w:val="clear" w:color="000000" w:fill="D9E2F3"/>
            <w:noWrap/>
            <w:vAlign w:val="center"/>
            <w:hideMark/>
          </w:tcPr>
          <w:p w:rsidR="00F80647" w:rsidRPr="00722A2A" w:rsidRDefault="00F80647" w:rsidP="008830AD">
            <w:pPr>
              <w:spacing w:after="0" w:line="240" w:lineRule="auto"/>
              <w:jc w:val="center"/>
              <w:rPr>
                <w:rFonts w:ascii="Calibri" w:eastAsia="Times New Roman" w:hAnsi="Calibri" w:cs="Times New Roman"/>
                <w:color w:val="000000"/>
                <w:sz w:val="24"/>
                <w:szCs w:val="24"/>
                <w:lang w:eastAsia="es-SV"/>
              </w:rPr>
            </w:pPr>
            <w:r w:rsidRPr="00722A2A">
              <w:rPr>
                <w:rFonts w:ascii="Calibri" w:eastAsia="Times New Roman" w:hAnsi="Calibri" w:cs="Times New Roman"/>
                <w:color w:val="000000"/>
                <w:sz w:val="24"/>
                <w:szCs w:val="24"/>
                <w:lang w:eastAsia="es-SV"/>
              </w:rPr>
              <w:t>9.21</w:t>
            </w:r>
          </w:p>
        </w:tc>
        <w:tc>
          <w:tcPr>
            <w:tcW w:w="0" w:type="auto"/>
            <w:tcBorders>
              <w:top w:val="nil"/>
              <w:left w:val="nil"/>
              <w:bottom w:val="single" w:sz="8" w:space="0" w:color="8EAADB"/>
              <w:right w:val="nil"/>
            </w:tcBorders>
            <w:shd w:val="clear" w:color="000000" w:fill="D9E2F3"/>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000000"/>
                <w:lang w:eastAsia="es-SV"/>
              </w:rPr>
            </w:pPr>
            <w:r w:rsidRPr="00722A2A">
              <w:rPr>
                <w:rFonts w:ascii="Calibri" w:eastAsia="Times New Roman" w:hAnsi="Calibri" w:cs="Times New Roman"/>
                <w:b/>
                <w:bCs/>
                <w:color w:val="000000"/>
                <w:lang w:eastAsia="es-SV"/>
              </w:rPr>
              <w:t>89</w:t>
            </w:r>
          </w:p>
        </w:tc>
        <w:tc>
          <w:tcPr>
            <w:tcW w:w="0" w:type="auto"/>
            <w:tcBorders>
              <w:top w:val="nil"/>
              <w:left w:val="nil"/>
              <w:bottom w:val="single" w:sz="8" w:space="0" w:color="8EAADB"/>
              <w:right w:val="nil"/>
            </w:tcBorders>
            <w:shd w:val="clear" w:color="000000" w:fill="D9E2F3"/>
            <w:noWrap/>
            <w:vAlign w:val="center"/>
            <w:hideMark/>
          </w:tcPr>
          <w:p w:rsidR="00F80647" w:rsidRPr="00722A2A" w:rsidRDefault="00F80647" w:rsidP="008830AD">
            <w:pPr>
              <w:spacing w:after="0" w:line="240" w:lineRule="auto"/>
              <w:rPr>
                <w:rFonts w:ascii="Calibri" w:eastAsia="Times New Roman" w:hAnsi="Calibri" w:cs="Times New Roman"/>
                <w:color w:val="000000"/>
                <w:lang w:eastAsia="es-SV"/>
              </w:rPr>
            </w:pPr>
            <w:r w:rsidRPr="00722A2A">
              <w:rPr>
                <w:rFonts w:ascii="Calibri" w:eastAsia="Times New Roman" w:hAnsi="Calibri" w:cs="Times New Roman"/>
                <w:color w:val="000000"/>
                <w:lang w:eastAsia="es-SV"/>
              </w:rPr>
              <w:t>FANTEL</w:t>
            </w:r>
          </w:p>
        </w:tc>
        <w:tc>
          <w:tcPr>
            <w:tcW w:w="0" w:type="auto"/>
            <w:tcBorders>
              <w:top w:val="nil"/>
              <w:left w:val="nil"/>
              <w:bottom w:val="single" w:sz="8" w:space="0" w:color="8EAADB"/>
              <w:right w:val="single" w:sz="8" w:space="0" w:color="8EAADB"/>
            </w:tcBorders>
            <w:shd w:val="clear" w:color="000000" w:fill="D9E2F3"/>
            <w:noWrap/>
            <w:vAlign w:val="center"/>
            <w:hideMark/>
          </w:tcPr>
          <w:p w:rsidR="00F80647" w:rsidRPr="00722A2A" w:rsidRDefault="00F80647" w:rsidP="008830AD">
            <w:pPr>
              <w:spacing w:after="0" w:line="240" w:lineRule="auto"/>
              <w:jc w:val="center"/>
              <w:rPr>
                <w:rFonts w:ascii="Calibri" w:eastAsia="Times New Roman" w:hAnsi="Calibri" w:cs="Times New Roman"/>
                <w:color w:val="000000"/>
                <w:sz w:val="24"/>
                <w:szCs w:val="24"/>
                <w:lang w:eastAsia="es-SV"/>
              </w:rPr>
            </w:pPr>
            <w:r w:rsidRPr="00722A2A">
              <w:rPr>
                <w:rFonts w:ascii="Calibri" w:eastAsia="Times New Roman" w:hAnsi="Calibri" w:cs="Times New Roman"/>
                <w:color w:val="000000"/>
                <w:sz w:val="24"/>
                <w:szCs w:val="24"/>
                <w:lang w:eastAsia="es-SV"/>
              </w:rPr>
              <w:t>2.91</w:t>
            </w:r>
          </w:p>
        </w:tc>
      </w:tr>
      <w:tr w:rsidR="00F80647" w:rsidRPr="00722A2A" w:rsidTr="008830AD">
        <w:trPr>
          <w:trHeight w:val="330"/>
          <w:jc w:val="center"/>
        </w:trPr>
        <w:tc>
          <w:tcPr>
            <w:tcW w:w="0" w:type="auto"/>
            <w:tcBorders>
              <w:top w:val="nil"/>
              <w:left w:val="single" w:sz="8" w:space="0" w:color="8EAADB"/>
              <w:bottom w:val="single" w:sz="8" w:space="0" w:color="8EAADB"/>
              <w:right w:val="nil"/>
            </w:tcBorders>
            <w:shd w:val="clear" w:color="auto" w:fill="auto"/>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000000"/>
                <w:lang w:eastAsia="es-SV"/>
              </w:rPr>
            </w:pPr>
            <w:r w:rsidRPr="00722A2A">
              <w:rPr>
                <w:rFonts w:ascii="Calibri" w:eastAsia="Times New Roman" w:hAnsi="Calibri" w:cs="Times New Roman"/>
                <w:b/>
                <w:bCs/>
                <w:color w:val="000000"/>
                <w:lang w:eastAsia="es-SV"/>
              </w:rPr>
              <w:t>4</w:t>
            </w:r>
          </w:p>
        </w:tc>
        <w:tc>
          <w:tcPr>
            <w:tcW w:w="0" w:type="auto"/>
            <w:tcBorders>
              <w:top w:val="nil"/>
              <w:left w:val="nil"/>
              <w:bottom w:val="single" w:sz="8" w:space="0" w:color="8EAADB"/>
              <w:right w:val="nil"/>
            </w:tcBorders>
            <w:shd w:val="clear" w:color="auto" w:fill="auto"/>
            <w:noWrap/>
            <w:vAlign w:val="center"/>
            <w:hideMark/>
          </w:tcPr>
          <w:p w:rsidR="00F80647" w:rsidRPr="00722A2A" w:rsidRDefault="00F80647" w:rsidP="008830AD">
            <w:pPr>
              <w:spacing w:after="0" w:line="240" w:lineRule="auto"/>
              <w:rPr>
                <w:rFonts w:ascii="Calibri" w:eastAsia="Times New Roman" w:hAnsi="Calibri" w:cs="Times New Roman"/>
                <w:color w:val="000000"/>
                <w:lang w:eastAsia="es-SV"/>
              </w:rPr>
            </w:pPr>
            <w:r w:rsidRPr="00722A2A">
              <w:rPr>
                <w:rFonts w:ascii="Calibri" w:eastAsia="Times New Roman" w:hAnsi="Calibri" w:cs="Times New Roman"/>
                <w:color w:val="000000"/>
                <w:lang w:eastAsia="es-SV"/>
              </w:rPr>
              <w:t>ANSP</w:t>
            </w:r>
          </w:p>
        </w:tc>
        <w:tc>
          <w:tcPr>
            <w:tcW w:w="0" w:type="auto"/>
            <w:tcBorders>
              <w:top w:val="nil"/>
              <w:left w:val="nil"/>
              <w:bottom w:val="single" w:sz="8" w:space="0" w:color="8EAADB"/>
              <w:right w:val="single" w:sz="8" w:space="0" w:color="8EAADB"/>
            </w:tcBorders>
            <w:shd w:val="clear" w:color="auto" w:fill="auto"/>
            <w:noWrap/>
            <w:vAlign w:val="center"/>
            <w:hideMark/>
          </w:tcPr>
          <w:p w:rsidR="00F80647" w:rsidRPr="00722A2A" w:rsidRDefault="00F80647" w:rsidP="008830AD">
            <w:pPr>
              <w:spacing w:after="0" w:line="240" w:lineRule="auto"/>
              <w:jc w:val="center"/>
              <w:rPr>
                <w:rFonts w:ascii="Calibri" w:eastAsia="Times New Roman" w:hAnsi="Calibri" w:cs="Times New Roman"/>
                <w:color w:val="000000"/>
                <w:sz w:val="24"/>
                <w:szCs w:val="24"/>
                <w:lang w:eastAsia="es-SV"/>
              </w:rPr>
            </w:pPr>
            <w:r w:rsidRPr="00722A2A">
              <w:rPr>
                <w:rFonts w:ascii="Calibri" w:eastAsia="Times New Roman" w:hAnsi="Calibri" w:cs="Times New Roman"/>
                <w:color w:val="000000"/>
                <w:sz w:val="24"/>
                <w:szCs w:val="24"/>
                <w:lang w:eastAsia="es-SV"/>
              </w:rPr>
              <w:t>8.53</w:t>
            </w:r>
          </w:p>
        </w:tc>
        <w:tc>
          <w:tcPr>
            <w:tcW w:w="0" w:type="auto"/>
            <w:tcBorders>
              <w:top w:val="nil"/>
              <w:left w:val="nil"/>
              <w:bottom w:val="single" w:sz="8" w:space="0" w:color="8EAADB"/>
              <w:right w:val="nil"/>
            </w:tcBorders>
            <w:shd w:val="clear" w:color="auto" w:fill="auto"/>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000000"/>
                <w:lang w:eastAsia="es-SV"/>
              </w:rPr>
            </w:pPr>
            <w:r w:rsidRPr="00722A2A">
              <w:rPr>
                <w:rFonts w:ascii="Calibri" w:eastAsia="Times New Roman" w:hAnsi="Calibri" w:cs="Times New Roman"/>
                <w:b/>
                <w:bCs/>
                <w:color w:val="000000"/>
                <w:lang w:eastAsia="es-SV"/>
              </w:rPr>
              <w:t>90</w:t>
            </w:r>
          </w:p>
        </w:tc>
        <w:tc>
          <w:tcPr>
            <w:tcW w:w="0" w:type="auto"/>
            <w:tcBorders>
              <w:top w:val="nil"/>
              <w:left w:val="nil"/>
              <w:bottom w:val="single" w:sz="8" w:space="0" w:color="8EAADB"/>
              <w:right w:val="nil"/>
            </w:tcBorders>
            <w:shd w:val="clear" w:color="auto" w:fill="auto"/>
            <w:noWrap/>
            <w:vAlign w:val="center"/>
            <w:hideMark/>
          </w:tcPr>
          <w:p w:rsidR="00F80647" w:rsidRPr="00722A2A" w:rsidRDefault="00F80647" w:rsidP="008830AD">
            <w:pPr>
              <w:spacing w:after="0" w:line="240" w:lineRule="auto"/>
              <w:rPr>
                <w:rFonts w:ascii="Calibri" w:eastAsia="Times New Roman" w:hAnsi="Calibri" w:cs="Times New Roman"/>
                <w:color w:val="000000"/>
                <w:lang w:eastAsia="es-SV"/>
              </w:rPr>
            </w:pPr>
            <w:r w:rsidRPr="00722A2A">
              <w:rPr>
                <w:rFonts w:ascii="Calibri" w:eastAsia="Times New Roman" w:hAnsi="Calibri" w:cs="Times New Roman"/>
                <w:color w:val="000000"/>
                <w:lang w:eastAsia="es-SV"/>
              </w:rPr>
              <w:t>ISTU</w:t>
            </w:r>
          </w:p>
        </w:tc>
        <w:tc>
          <w:tcPr>
            <w:tcW w:w="0" w:type="auto"/>
            <w:tcBorders>
              <w:top w:val="nil"/>
              <w:left w:val="nil"/>
              <w:bottom w:val="single" w:sz="8" w:space="0" w:color="8EAADB"/>
              <w:right w:val="single" w:sz="8" w:space="0" w:color="8EAADB"/>
            </w:tcBorders>
            <w:shd w:val="clear" w:color="auto" w:fill="auto"/>
            <w:noWrap/>
            <w:vAlign w:val="center"/>
            <w:hideMark/>
          </w:tcPr>
          <w:p w:rsidR="00F80647" w:rsidRPr="00722A2A" w:rsidRDefault="00F80647" w:rsidP="008830AD">
            <w:pPr>
              <w:spacing w:after="0" w:line="240" w:lineRule="auto"/>
              <w:jc w:val="center"/>
              <w:rPr>
                <w:rFonts w:ascii="Calibri" w:eastAsia="Times New Roman" w:hAnsi="Calibri" w:cs="Times New Roman"/>
                <w:color w:val="000000"/>
                <w:sz w:val="24"/>
                <w:szCs w:val="24"/>
                <w:lang w:eastAsia="es-SV"/>
              </w:rPr>
            </w:pPr>
            <w:r w:rsidRPr="00722A2A">
              <w:rPr>
                <w:rFonts w:ascii="Calibri" w:eastAsia="Times New Roman" w:hAnsi="Calibri" w:cs="Times New Roman"/>
                <w:color w:val="000000"/>
                <w:sz w:val="24"/>
                <w:szCs w:val="24"/>
                <w:lang w:eastAsia="es-SV"/>
              </w:rPr>
              <w:t>2.9</w:t>
            </w:r>
          </w:p>
        </w:tc>
      </w:tr>
      <w:tr w:rsidR="00F80647" w:rsidRPr="00722A2A" w:rsidTr="008830AD">
        <w:trPr>
          <w:trHeight w:val="330"/>
          <w:jc w:val="center"/>
        </w:trPr>
        <w:tc>
          <w:tcPr>
            <w:tcW w:w="0" w:type="auto"/>
            <w:tcBorders>
              <w:top w:val="nil"/>
              <w:left w:val="single" w:sz="8" w:space="0" w:color="8EAADB"/>
              <w:bottom w:val="single" w:sz="8" w:space="0" w:color="8EAADB"/>
              <w:right w:val="nil"/>
            </w:tcBorders>
            <w:shd w:val="clear" w:color="000000" w:fill="D9E2F3"/>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000000"/>
                <w:lang w:eastAsia="es-SV"/>
              </w:rPr>
            </w:pPr>
            <w:r w:rsidRPr="00722A2A">
              <w:rPr>
                <w:rFonts w:ascii="Calibri" w:eastAsia="Times New Roman" w:hAnsi="Calibri" w:cs="Times New Roman"/>
                <w:b/>
                <w:bCs/>
                <w:color w:val="000000"/>
                <w:lang w:eastAsia="es-SV"/>
              </w:rPr>
              <w:t>5</w:t>
            </w:r>
          </w:p>
        </w:tc>
        <w:tc>
          <w:tcPr>
            <w:tcW w:w="0" w:type="auto"/>
            <w:tcBorders>
              <w:top w:val="nil"/>
              <w:left w:val="nil"/>
              <w:bottom w:val="single" w:sz="8" w:space="0" w:color="8EAADB"/>
              <w:right w:val="nil"/>
            </w:tcBorders>
            <w:shd w:val="clear" w:color="000000" w:fill="D9E2F3"/>
            <w:noWrap/>
            <w:vAlign w:val="center"/>
            <w:hideMark/>
          </w:tcPr>
          <w:p w:rsidR="00F80647" w:rsidRPr="00722A2A" w:rsidRDefault="00F80647" w:rsidP="008830AD">
            <w:pPr>
              <w:spacing w:after="0" w:line="240" w:lineRule="auto"/>
              <w:rPr>
                <w:rFonts w:ascii="Calibri" w:eastAsia="Times New Roman" w:hAnsi="Calibri" w:cs="Times New Roman"/>
                <w:color w:val="000000"/>
                <w:lang w:eastAsia="es-SV"/>
              </w:rPr>
            </w:pPr>
            <w:r w:rsidRPr="00722A2A">
              <w:rPr>
                <w:rFonts w:ascii="Calibri" w:eastAsia="Times New Roman" w:hAnsi="Calibri" w:cs="Times New Roman"/>
                <w:color w:val="000000"/>
                <w:lang w:eastAsia="es-SV"/>
              </w:rPr>
              <w:t>ISDEM</w:t>
            </w:r>
          </w:p>
        </w:tc>
        <w:tc>
          <w:tcPr>
            <w:tcW w:w="0" w:type="auto"/>
            <w:tcBorders>
              <w:top w:val="nil"/>
              <w:left w:val="nil"/>
              <w:bottom w:val="single" w:sz="8" w:space="0" w:color="8EAADB"/>
              <w:right w:val="single" w:sz="8" w:space="0" w:color="8EAADB"/>
            </w:tcBorders>
            <w:shd w:val="clear" w:color="000000" w:fill="D9E2F3"/>
            <w:noWrap/>
            <w:vAlign w:val="center"/>
            <w:hideMark/>
          </w:tcPr>
          <w:p w:rsidR="00F80647" w:rsidRPr="00722A2A" w:rsidRDefault="00F80647" w:rsidP="008830AD">
            <w:pPr>
              <w:spacing w:after="0" w:line="240" w:lineRule="auto"/>
              <w:jc w:val="center"/>
              <w:rPr>
                <w:rFonts w:ascii="Calibri" w:eastAsia="Times New Roman" w:hAnsi="Calibri" w:cs="Times New Roman"/>
                <w:color w:val="000000"/>
                <w:sz w:val="24"/>
                <w:szCs w:val="24"/>
                <w:lang w:eastAsia="es-SV"/>
              </w:rPr>
            </w:pPr>
            <w:r w:rsidRPr="00722A2A">
              <w:rPr>
                <w:rFonts w:ascii="Calibri" w:eastAsia="Times New Roman" w:hAnsi="Calibri" w:cs="Times New Roman"/>
                <w:color w:val="000000"/>
                <w:sz w:val="24"/>
                <w:szCs w:val="24"/>
                <w:lang w:eastAsia="es-SV"/>
              </w:rPr>
              <w:t>8.24</w:t>
            </w:r>
          </w:p>
        </w:tc>
        <w:tc>
          <w:tcPr>
            <w:tcW w:w="0" w:type="auto"/>
            <w:tcBorders>
              <w:top w:val="nil"/>
              <w:left w:val="nil"/>
              <w:bottom w:val="single" w:sz="8" w:space="0" w:color="8EAADB"/>
              <w:right w:val="nil"/>
            </w:tcBorders>
            <w:shd w:val="clear" w:color="000000" w:fill="D9E2F3"/>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000000"/>
                <w:lang w:eastAsia="es-SV"/>
              </w:rPr>
            </w:pPr>
            <w:r w:rsidRPr="00722A2A">
              <w:rPr>
                <w:rFonts w:ascii="Calibri" w:eastAsia="Times New Roman" w:hAnsi="Calibri" w:cs="Times New Roman"/>
                <w:b/>
                <w:bCs/>
                <w:color w:val="000000"/>
                <w:lang w:eastAsia="es-SV"/>
              </w:rPr>
              <w:t>91</w:t>
            </w:r>
          </w:p>
        </w:tc>
        <w:tc>
          <w:tcPr>
            <w:tcW w:w="0" w:type="auto"/>
            <w:tcBorders>
              <w:top w:val="nil"/>
              <w:left w:val="nil"/>
              <w:bottom w:val="single" w:sz="8" w:space="0" w:color="8EAADB"/>
              <w:right w:val="nil"/>
            </w:tcBorders>
            <w:shd w:val="clear" w:color="000000" w:fill="D9E2F3"/>
            <w:noWrap/>
            <w:vAlign w:val="center"/>
            <w:hideMark/>
          </w:tcPr>
          <w:p w:rsidR="00F80647" w:rsidRPr="00722A2A" w:rsidRDefault="00F80647" w:rsidP="008830AD">
            <w:pPr>
              <w:spacing w:after="0" w:line="240" w:lineRule="auto"/>
              <w:rPr>
                <w:rFonts w:ascii="Calibri" w:eastAsia="Times New Roman" w:hAnsi="Calibri" w:cs="Times New Roman"/>
                <w:color w:val="000000"/>
                <w:lang w:eastAsia="es-SV"/>
              </w:rPr>
            </w:pPr>
            <w:r w:rsidRPr="00722A2A">
              <w:rPr>
                <w:rFonts w:ascii="Calibri" w:eastAsia="Times New Roman" w:hAnsi="Calibri" w:cs="Times New Roman"/>
                <w:color w:val="000000"/>
                <w:lang w:eastAsia="es-SV"/>
              </w:rPr>
              <w:t>INSAFOCOOP</w:t>
            </w:r>
          </w:p>
        </w:tc>
        <w:tc>
          <w:tcPr>
            <w:tcW w:w="0" w:type="auto"/>
            <w:tcBorders>
              <w:top w:val="nil"/>
              <w:left w:val="nil"/>
              <w:bottom w:val="single" w:sz="8" w:space="0" w:color="8EAADB"/>
              <w:right w:val="single" w:sz="8" w:space="0" w:color="8EAADB"/>
            </w:tcBorders>
            <w:shd w:val="clear" w:color="000000" w:fill="D9E2F3"/>
            <w:noWrap/>
            <w:vAlign w:val="center"/>
            <w:hideMark/>
          </w:tcPr>
          <w:p w:rsidR="00F80647" w:rsidRPr="00722A2A" w:rsidRDefault="00F80647" w:rsidP="008830AD">
            <w:pPr>
              <w:spacing w:after="0" w:line="240" w:lineRule="auto"/>
              <w:jc w:val="center"/>
              <w:rPr>
                <w:rFonts w:ascii="Calibri" w:eastAsia="Times New Roman" w:hAnsi="Calibri" w:cs="Times New Roman"/>
                <w:color w:val="000000"/>
                <w:sz w:val="24"/>
                <w:szCs w:val="24"/>
                <w:lang w:eastAsia="es-SV"/>
              </w:rPr>
            </w:pPr>
            <w:r w:rsidRPr="00722A2A">
              <w:rPr>
                <w:rFonts w:ascii="Calibri" w:eastAsia="Times New Roman" w:hAnsi="Calibri" w:cs="Times New Roman"/>
                <w:color w:val="000000"/>
                <w:sz w:val="24"/>
                <w:szCs w:val="24"/>
                <w:lang w:eastAsia="es-SV"/>
              </w:rPr>
              <w:t>2.85</w:t>
            </w:r>
          </w:p>
        </w:tc>
      </w:tr>
      <w:tr w:rsidR="00F80647" w:rsidRPr="00722A2A" w:rsidTr="008830AD">
        <w:trPr>
          <w:trHeight w:val="330"/>
          <w:jc w:val="center"/>
        </w:trPr>
        <w:tc>
          <w:tcPr>
            <w:tcW w:w="0" w:type="auto"/>
            <w:tcBorders>
              <w:top w:val="nil"/>
              <w:left w:val="single" w:sz="8" w:space="0" w:color="8EAADB"/>
              <w:bottom w:val="single" w:sz="8" w:space="0" w:color="8EAADB"/>
              <w:right w:val="nil"/>
            </w:tcBorders>
            <w:shd w:val="clear" w:color="auto" w:fill="auto"/>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000000"/>
                <w:lang w:eastAsia="es-SV"/>
              </w:rPr>
            </w:pPr>
            <w:r w:rsidRPr="00722A2A">
              <w:rPr>
                <w:rFonts w:ascii="Calibri" w:eastAsia="Times New Roman" w:hAnsi="Calibri" w:cs="Times New Roman"/>
                <w:b/>
                <w:bCs/>
                <w:color w:val="000000"/>
                <w:lang w:eastAsia="es-SV"/>
              </w:rPr>
              <w:t>6</w:t>
            </w:r>
          </w:p>
        </w:tc>
        <w:tc>
          <w:tcPr>
            <w:tcW w:w="0" w:type="auto"/>
            <w:tcBorders>
              <w:top w:val="nil"/>
              <w:left w:val="nil"/>
              <w:bottom w:val="single" w:sz="8" w:space="0" w:color="8EAADB"/>
              <w:right w:val="nil"/>
            </w:tcBorders>
            <w:shd w:val="clear" w:color="auto" w:fill="auto"/>
            <w:noWrap/>
            <w:vAlign w:val="center"/>
            <w:hideMark/>
          </w:tcPr>
          <w:p w:rsidR="00F80647" w:rsidRPr="00722A2A" w:rsidRDefault="00F80647" w:rsidP="008830AD">
            <w:pPr>
              <w:spacing w:after="0" w:line="240" w:lineRule="auto"/>
              <w:rPr>
                <w:rFonts w:ascii="Calibri" w:eastAsia="Times New Roman" w:hAnsi="Calibri" w:cs="Times New Roman"/>
                <w:color w:val="000000"/>
                <w:lang w:eastAsia="es-SV"/>
              </w:rPr>
            </w:pPr>
            <w:r w:rsidRPr="00722A2A">
              <w:rPr>
                <w:rFonts w:ascii="Calibri" w:eastAsia="Times New Roman" w:hAnsi="Calibri" w:cs="Times New Roman"/>
                <w:color w:val="000000"/>
                <w:lang w:eastAsia="es-SV"/>
              </w:rPr>
              <w:t>CEFAFA</w:t>
            </w:r>
          </w:p>
        </w:tc>
        <w:tc>
          <w:tcPr>
            <w:tcW w:w="0" w:type="auto"/>
            <w:tcBorders>
              <w:top w:val="nil"/>
              <w:left w:val="nil"/>
              <w:bottom w:val="single" w:sz="8" w:space="0" w:color="8EAADB"/>
              <w:right w:val="single" w:sz="8" w:space="0" w:color="8EAADB"/>
            </w:tcBorders>
            <w:shd w:val="clear" w:color="auto" w:fill="auto"/>
            <w:noWrap/>
            <w:vAlign w:val="center"/>
            <w:hideMark/>
          </w:tcPr>
          <w:p w:rsidR="00F80647" w:rsidRPr="00722A2A" w:rsidRDefault="00F80647" w:rsidP="008830AD">
            <w:pPr>
              <w:spacing w:after="0" w:line="240" w:lineRule="auto"/>
              <w:jc w:val="center"/>
              <w:rPr>
                <w:rFonts w:ascii="Calibri" w:eastAsia="Times New Roman" w:hAnsi="Calibri" w:cs="Times New Roman"/>
                <w:color w:val="000000"/>
                <w:sz w:val="24"/>
                <w:szCs w:val="24"/>
                <w:lang w:eastAsia="es-SV"/>
              </w:rPr>
            </w:pPr>
            <w:r w:rsidRPr="00722A2A">
              <w:rPr>
                <w:rFonts w:ascii="Calibri" w:eastAsia="Times New Roman" w:hAnsi="Calibri" w:cs="Times New Roman"/>
                <w:color w:val="000000"/>
                <w:sz w:val="24"/>
                <w:szCs w:val="24"/>
                <w:lang w:eastAsia="es-SV"/>
              </w:rPr>
              <w:t>8.2</w:t>
            </w:r>
          </w:p>
        </w:tc>
        <w:tc>
          <w:tcPr>
            <w:tcW w:w="0" w:type="auto"/>
            <w:tcBorders>
              <w:top w:val="nil"/>
              <w:left w:val="nil"/>
              <w:bottom w:val="single" w:sz="8" w:space="0" w:color="8EAADB"/>
              <w:right w:val="nil"/>
            </w:tcBorders>
            <w:shd w:val="clear" w:color="auto" w:fill="auto"/>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000000"/>
                <w:lang w:eastAsia="es-SV"/>
              </w:rPr>
            </w:pPr>
            <w:r w:rsidRPr="00722A2A">
              <w:rPr>
                <w:rFonts w:ascii="Calibri" w:eastAsia="Times New Roman" w:hAnsi="Calibri" w:cs="Times New Roman"/>
                <w:b/>
                <w:bCs/>
                <w:color w:val="000000"/>
                <w:lang w:eastAsia="es-SV"/>
              </w:rPr>
              <w:t>92</w:t>
            </w:r>
          </w:p>
        </w:tc>
        <w:tc>
          <w:tcPr>
            <w:tcW w:w="0" w:type="auto"/>
            <w:tcBorders>
              <w:top w:val="nil"/>
              <w:left w:val="nil"/>
              <w:bottom w:val="single" w:sz="8" w:space="0" w:color="8EAADB"/>
              <w:right w:val="nil"/>
            </w:tcBorders>
            <w:shd w:val="clear" w:color="auto" w:fill="auto"/>
            <w:noWrap/>
            <w:vAlign w:val="center"/>
            <w:hideMark/>
          </w:tcPr>
          <w:p w:rsidR="00F80647" w:rsidRPr="00722A2A" w:rsidRDefault="00F80647" w:rsidP="008830AD">
            <w:pPr>
              <w:spacing w:after="0" w:line="240" w:lineRule="auto"/>
              <w:rPr>
                <w:rFonts w:ascii="Calibri" w:eastAsia="Times New Roman" w:hAnsi="Calibri" w:cs="Times New Roman"/>
                <w:color w:val="000000"/>
                <w:lang w:eastAsia="es-SV"/>
              </w:rPr>
            </w:pPr>
            <w:r w:rsidRPr="00722A2A">
              <w:rPr>
                <w:rFonts w:ascii="Calibri" w:eastAsia="Times New Roman" w:hAnsi="Calibri" w:cs="Times New Roman"/>
                <w:color w:val="000000"/>
                <w:lang w:eastAsia="es-SV"/>
              </w:rPr>
              <w:t>CONACYT</w:t>
            </w:r>
          </w:p>
        </w:tc>
        <w:tc>
          <w:tcPr>
            <w:tcW w:w="0" w:type="auto"/>
            <w:tcBorders>
              <w:top w:val="nil"/>
              <w:left w:val="nil"/>
              <w:bottom w:val="single" w:sz="8" w:space="0" w:color="8EAADB"/>
              <w:right w:val="single" w:sz="8" w:space="0" w:color="8EAADB"/>
            </w:tcBorders>
            <w:shd w:val="clear" w:color="auto" w:fill="auto"/>
            <w:noWrap/>
            <w:vAlign w:val="center"/>
            <w:hideMark/>
          </w:tcPr>
          <w:p w:rsidR="00F80647" w:rsidRPr="00722A2A" w:rsidRDefault="00F80647" w:rsidP="008830AD">
            <w:pPr>
              <w:spacing w:after="0" w:line="240" w:lineRule="auto"/>
              <w:jc w:val="center"/>
              <w:rPr>
                <w:rFonts w:ascii="Calibri" w:eastAsia="Times New Roman" w:hAnsi="Calibri" w:cs="Times New Roman"/>
                <w:color w:val="000000"/>
                <w:sz w:val="24"/>
                <w:szCs w:val="24"/>
                <w:lang w:eastAsia="es-SV"/>
              </w:rPr>
            </w:pPr>
            <w:r w:rsidRPr="00722A2A">
              <w:rPr>
                <w:rFonts w:ascii="Calibri" w:eastAsia="Times New Roman" w:hAnsi="Calibri" w:cs="Times New Roman"/>
                <w:color w:val="000000"/>
                <w:sz w:val="24"/>
                <w:szCs w:val="24"/>
                <w:lang w:eastAsia="es-SV"/>
              </w:rPr>
              <w:t>2.82</w:t>
            </w:r>
          </w:p>
        </w:tc>
      </w:tr>
      <w:tr w:rsidR="00F80647" w:rsidRPr="00722A2A" w:rsidTr="008830AD">
        <w:trPr>
          <w:trHeight w:val="330"/>
          <w:jc w:val="center"/>
        </w:trPr>
        <w:tc>
          <w:tcPr>
            <w:tcW w:w="0" w:type="auto"/>
            <w:tcBorders>
              <w:top w:val="nil"/>
              <w:left w:val="single" w:sz="8" w:space="0" w:color="8EAADB"/>
              <w:bottom w:val="single" w:sz="8" w:space="0" w:color="8EAADB"/>
              <w:right w:val="nil"/>
            </w:tcBorders>
            <w:shd w:val="clear" w:color="000000" w:fill="D9E2F3"/>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000000"/>
                <w:lang w:eastAsia="es-SV"/>
              </w:rPr>
            </w:pPr>
            <w:r w:rsidRPr="00722A2A">
              <w:rPr>
                <w:rFonts w:ascii="Calibri" w:eastAsia="Times New Roman" w:hAnsi="Calibri" w:cs="Times New Roman"/>
                <w:b/>
                <w:bCs/>
                <w:color w:val="000000"/>
                <w:lang w:eastAsia="es-SV"/>
              </w:rPr>
              <w:t>7</w:t>
            </w:r>
          </w:p>
        </w:tc>
        <w:tc>
          <w:tcPr>
            <w:tcW w:w="0" w:type="auto"/>
            <w:tcBorders>
              <w:top w:val="nil"/>
              <w:left w:val="nil"/>
              <w:bottom w:val="single" w:sz="8" w:space="0" w:color="8EAADB"/>
              <w:right w:val="nil"/>
            </w:tcBorders>
            <w:shd w:val="clear" w:color="000000" w:fill="D9E2F3"/>
            <w:noWrap/>
            <w:vAlign w:val="center"/>
            <w:hideMark/>
          </w:tcPr>
          <w:p w:rsidR="00F80647" w:rsidRPr="00722A2A" w:rsidRDefault="00F80647" w:rsidP="008830AD">
            <w:pPr>
              <w:spacing w:after="0" w:line="240" w:lineRule="auto"/>
              <w:rPr>
                <w:rFonts w:ascii="Calibri" w:eastAsia="Times New Roman" w:hAnsi="Calibri" w:cs="Times New Roman"/>
                <w:color w:val="000000"/>
                <w:lang w:eastAsia="es-SV"/>
              </w:rPr>
            </w:pPr>
            <w:r w:rsidRPr="00722A2A">
              <w:rPr>
                <w:rFonts w:ascii="Calibri" w:eastAsia="Times New Roman" w:hAnsi="Calibri" w:cs="Times New Roman"/>
                <w:color w:val="000000"/>
                <w:lang w:eastAsia="es-SV"/>
              </w:rPr>
              <w:t>DGCP</w:t>
            </w:r>
          </w:p>
        </w:tc>
        <w:tc>
          <w:tcPr>
            <w:tcW w:w="0" w:type="auto"/>
            <w:tcBorders>
              <w:top w:val="nil"/>
              <w:left w:val="nil"/>
              <w:bottom w:val="single" w:sz="8" w:space="0" w:color="8EAADB"/>
              <w:right w:val="single" w:sz="8" w:space="0" w:color="8EAADB"/>
            </w:tcBorders>
            <w:shd w:val="clear" w:color="000000" w:fill="D9E2F3"/>
            <w:noWrap/>
            <w:vAlign w:val="center"/>
            <w:hideMark/>
          </w:tcPr>
          <w:p w:rsidR="00F80647" w:rsidRPr="00722A2A" w:rsidRDefault="00F80647" w:rsidP="008830AD">
            <w:pPr>
              <w:spacing w:after="0" w:line="240" w:lineRule="auto"/>
              <w:jc w:val="center"/>
              <w:rPr>
                <w:rFonts w:ascii="Calibri" w:eastAsia="Times New Roman" w:hAnsi="Calibri" w:cs="Times New Roman"/>
                <w:color w:val="000000"/>
                <w:sz w:val="24"/>
                <w:szCs w:val="24"/>
                <w:lang w:eastAsia="es-SV"/>
              </w:rPr>
            </w:pPr>
            <w:r w:rsidRPr="00722A2A">
              <w:rPr>
                <w:rFonts w:ascii="Calibri" w:eastAsia="Times New Roman" w:hAnsi="Calibri" w:cs="Times New Roman"/>
                <w:color w:val="000000"/>
                <w:sz w:val="24"/>
                <w:szCs w:val="24"/>
                <w:lang w:eastAsia="es-SV"/>
              </w:rPr>
              <w:t>8.19</w:t>
            </w:r>
          </w:p>
        </w:tc>
        <w:tc>
          <w:tcPr>
            <w:tcW w:w="0" w:type="auto"/>
            <w:tcBorders>
              <w:top w:val="nil"/>
              <w:left w:val="nil"/>
              <w:bottom w:val="single" w:sz="8" w:space="0" w:color="8EAADB"/>
              <w:right w:val="nil"/>
            </w:tcBorders>
            <w:shd w:val="clear" w:color="000000" w:fill="D9E2F3"/>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000000"/>
                <w:lang w:eastAsia="es-SV"/>
              </w:rPr>
            </w:pPr>
            <w:r w:rsidRPr="00722A2A">
              <w:rPr>
                <w:rFonts w:ascii="Calibri" w:eastAsia="Times New Roman" w:hAnsi="Calibri" w:cs="Times New Roman"/>
                <w:b/>
                <w:bCs/>
                <w:color w:val="000000"/>
                <w:lang w:eastAsia="es-SV"/>
              </w:rPr>
              <w:t>93</w:t>
            </w:r>
          </w:p>
        </w:tc>
        <w:tc>
          <w:tcPr>
            <w:tcW w:w="0" w:type="auto"/>
            <w:tcBorders>
              <w:top w:val="nil"/>
              <w:left w:val="nil"/>
              <w:bottom w:val="single" w:sz="8" w:space="0" w:color="8EAADB"/>
              <w:right w:val="nil"/>
            </w:tcBorders>
            <w:shd w:val="clear" w:color="000000" w:fill="D9E2F3"/>
            <w:noWrap/>
            <w:vAlign w:val="center"/>
            <w:hideMark/>
          </w:tcPr>
          <w:p w:rsidR="00F80647" w:rsidRPr="00722A2A" w:rsidRDefault="00F80647" w:rsidP="008830AD">
            <w:pPr>
              <w:spacing w:after="0" w:line="240" w:lineRule="auto"/>
              <w:rPr>
                <w:rFonts w:ascii="Calibri" w:eastAsia="Times New Roman" w:hAnsi="Calibri" w:cs="Times New Roman"/>
                <w:color w:val="000000"/>
                <w:lang w:eastAsia="es-SV"/>
              </w:rPr>
            </w:pPr>
            <w:r w:rsidRPr="00722A2A">
              <w:rPr>
                <w:rFonts w:ascii="Calibri" w:eastAsia="Times New Roman" w:hAnsi="Calibri" w:cs="Times New Roman"/>
                <w:color w:val="000000"/>
                <w:lang w:eastAsia="es-SV"/>
              </w:rPr>
              <w:t>CIFCO</w:t>
            </w:r>
          </w:p>
        </w:tc>
        <w:tc>
          <w:tcPr>
            <w:tcW w:w="0" w:type="auto"/>
            <w:tcBorders>
              <w:top w:val="nil"/>
              <w:left w:val="nil"/>
              <w:bottom w:val="single" w:sz="8" w:space="0" w:color="8EAADB"/>
              <w:right w:val="single" w:sz="8" w:space="0" w:color="8EAADB"/>
            </w:tcBorders>
            <w:shd w:val="clear" w:color="000000" w:fill="D9E2F3"/>
            <w:noWrap/>
            <w:vAlign w:val="center"/>
            <w:hideMark/>
          </w:tcPr>
          <w:p w:rsidR="00F80647" w:rsidRPr="00722A2A" w:rsidRDefault="00F80647" w:rsidP="008830AD">
            <w:pPr>
              <w:spacing w:after="0" w:line="240" w:lineRule="auto"/>
              <w:jc w:val="center"/>
              <w:rPr>
                <w:rFonts w:ascii="Calibri" w:eastAsia="Times New Roman" w:hAnsi="Calibri" w:cs="Times New Roman"/>
                <w:color w:val="000000"/>
                <w:sz w:val="24"/>
                <w:szCs w:val="24"/>
                <w:lang w:eastAsia="es-SV"/>
              </w:rPr>
            </w:pPr>
            <w:r w:rsidRPr="00722A2A">
              <w:rPr>
                <w:rFonts w:ascii="Calibri" w:eastAsia="Times New Roman" w:hAnsi="Calibri" w:cs="Times New Roman"/>
                <w:color w:val="000000"/>
                <w:sz w:val="24"/>
                <w:szCs w:val="24"/>
                <w:lang w:eastAsia="es-SV"/>
              </w:rPr>
              <w:t>2.1</w:t>
            </w:r>
          </w:p>
        </w:tc>
      </w:tr>
      <w:tr w:rsidR="00F80647" w:rsidRPr="00722A2A" w:rsidTr="008830AD">
        <w:trPr>
          <w:trHeight w:val="330"/>
          <w:jc w:val="center"/>
        </w:trPr>
        <w:tc>
          <w:tcPr>
            <w:tcW w:w="0" w:type="auto"/>
            <w:tcBorders>
              <w:top w:val="nil"/>
              <w:left w:val="single" w:sz="8" w:space="0" w:color="8EAADB"/>
              <w:bottom w:val="single" w:sz="8" w:space="0" w:color="8EAADB"/>
              <w:right w:val="nil"/>
            </w:tcBorders>
            <w:shd w:val="clear" w:color="auto" w:fill="auto"/>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000000"/>
                <w:lang w:eastAsia="es-SV"/>
              </w:rPr>
            </w:pPr>
            <w:r w:rsidRPr="00722A2A">
              <w:rPr>
                <w:rFonts w:ascii="Calibri" w:eastAsia="Times New Roman" w:hAnsi="Calibri" w:cs="Times New Roman"/>
                <w:b/>
                <w:bCs/>
                <w:color w:val="000000"/>
                <w:lang w:eastAsia="es-SV"/>
              </w:rPr>
              <w:t>8</w:t>
            </w:r>
          </w:p>
        </w:tc>
        <w:tc>
          <w:tcPr>
            <w:tcW w:w="0" w:type="auto"/>
            <w:tcBorders>
              <w:top w:val="nil"/>
              <w:left w:val="nil"/>
              <w:bottom w:val="single" w:sz="8" w:space="0" w:color="8EAADB"/>
              <w:right w:val="nil"/>
            </w:tcBorders>
            <w:shd w:val="clear" w:color="auto" w:fill="auto"/>
            <w:noWrap/>
            <w:vAlign w:val="center"/>
            <w:hideMark/>
          </w:tcPr>
          <w:p w:rsidR="00F80647" w:rsidRPr="00722A2A" w:rsidRDefault="00F80647" w:rsidP="008830AD">
            <w:pPr>
              <w:spacing w:after="0" w:line="240" w:lineRule="auto"/>
              <w:rPr>
                <w:rFonts w:ascii="Calibri" w:eastAsia="Times New Roman" w:hAnsi="Calibri" w:cs="Times New Roman"/>
                <w:color w:val="000000"/>
                <w:lang w:eastAsia="es-SV"/>
              </w:rPr>
            </w:pPr>
            <w:r w:rsidRPr="00722A2A">
              <w:rPr>
                <w:rFonts w:ascii="Calibri" w:eastAsia="Times New Roman" w:hAnsi="Calibri" w:cs="Times New Roman"/>
                <w:color w:val="000000"/>
                <w:lang w:eastAsia="es-SV"/>
              </w:rPr>
              <w:t>ISBM</w:t>
            </w:r>
          </w:p>
        </w:tc>
        <w:tc>
          <w:tcPr>
            <w:tcW w:w="0" w:type="auto"/>
            <w:tcBorders>
              <w:top w:val="nil"/>
              <w:left w:val="nil"/>
              <w:bottom w:val="single" w:sz="8" w:space="0" w:color="8EAADB"/>
              <w:right w:val="single" w:sz="8" w:space="0" w:color="8EAADB"/>
            </w:tcBorders>
            <w:shd w:val="clear" w:color="auto" w:fill="auto"/>
            <w:noWrap/>
            <w:vAlign w:val="center"/>
            <w:hideMark/>
          </w:tcPr>
          <w:p w:rsidR="00F80647" w:rsidRPr="00722A2A" w:rsidRDefault="00F80647" w:rsidP="008830AD">
            <w:pPr>
              <w:spacing w:after="0" w:line="240" w:lineRule="auto"/>
              <w:jc w:val="center"/>
              <w:rPr>
                <w:rFonts w:ascii="Calibri" w:eastAsia="Times New Roman" w:hAnsi="Calibri" w:cs="Times New Roman"/>
                <w:color w:val="000000"/>
                <w:sz w:val="24"/>
                <w:szCs w:val="24"/>
                <w:lang w:eastAsia="es-SV"/>
              </w:rPr>
            </w:pPr>
            <w:r w:rsidRPr="00722A2A">
              <w:rPr>
                <w:rFonts w:ascii="Calibri" w:eastAsia="Times New Roman" w:hAnsi="Calibri" w:cs="Times New Roman"/>
                <w:color w:val="000000"/>
                <w:sz w:val="24"/>
                <w:szCs w:val="24"/>
                <w:lang w:eastAsia="es-SV"/>
              </w:rPr>
              <w:t>8.13</w:t>
            </w:r>
          </w:p>
        </w:tc>
        <w:tc>
          <w:tcPr>
            <w:tcW w:w="0" w:type="auto"/>
            <w:tcBorders>
              <w:top w:val="nil"/>
              <w:left w:val="nil"/>
              <w:bottom w:val="single" w:sz="8" w:space="0" w:color="8EAADB"/>
              <w:right w:val="nil"/>
            </w:tcBorders>
            <w:shd w:val="clear" w:color="auto" w:fill="auto"/>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000000"/>
                <w:lang w:eastAsia="es-SV"/>
              </w:rPr>
            </w:pPr>
            <w:r w:rsidRPr="00722A2A">
              <w:rPr>
                <w:rFonts w:ascii="Calibri" w:eastAsia="Times New Roman" w:hAnsi="Calibri" w:cs="Times New Roman"/>
                <w:b/>
                <w:bCs/>
                <w:color w:val="000000"/>
                <w:lang w:eastAsia="es-SV"/>
              </w:rPr>
              <w:t>94</w:t>
            </w:r>
          </w:p>
        </w:tc>
        <w:tc>
          <w:tcPr>
            <w:tcW w:w="0" w:type="auto"/>
            <w:tcBorders>
              <w:top w:val="nil"/>
              <w:left w:val="nil"/>
              <w:bottom w:val="single" w:sz="8" w:space="0" w:color="8EAADB"/>
              <w:right w:val="nil"/>
            </w:tcBorders>
            <w:shd w:val="clear" w:color="auto" w:fill="auto"/>
            <w:noWrap/>
            <w:vAlign w:val="center"/>
            <w:hideMark/>
          </w:tcPr>
          <w:p w:rsidR="00F80647" w:rsidRPr="00722A2A" w:rsidRDefault="00F80647" w:rsidP="008830AD">
            <w:pPr>
              <w:spacing w:after="0" w:line="240" w:lineRule="auto"/>
              <w:rPr>
                <w:rFonts w:ascii="Calibri" w:eastAsia="Times New Roman" w:hAnsi="Calibri" w:cs="Times New Roman"/>
                <w:color w:val="000000"/>
                <w:lang w:eastAsia="es-SV"/>
              </w:rPr>
            </w:pPr>
            <w:r w:rsidRPr="00722A2A">
              <w:rPr>
                <w:rFonts w:ascii="Calibri" w:eastAsia="Times New Roman" w:hAnsi="Calibri" w:cs="Times New Roman"/>
                <w:color w:val="000000"/>
                <w:lang w:eastAsia="es-SV"/>
              </w:rPr>
              <w:t>TSC</w:t>
            </w:r>
          </w:p>
        </w:tc>
        <w:tc>
          <w:tcPr>
            <w:tcW w:w="0" w:type="auto"/>
            <w:tcBorders>
              <w:top w:val="nil"/>
              <w:left w:val="nil"/>
              <w:bottom w:val="single" w:sz="8" w:space="0" w:color="8EAADB"/>
              <w:right w:val="single" w:sz="8" w:space="0" w:color="8EAADB"/>
            </w:tcBorders>
            <w:shd w:val="clear" w:color="auto" w:fill="auto"/>
            <w:noWrap/>
            <w:vAlign w:val="center"/>
            <w:hideMark/>
          </w:tcPr>
          <w:p w:rsidR="00F80647" w:rsidRPr="00722A2A" w:rsidRDefault="00F80647" w:rsidP="008830AD">
            <w:pPr>
              <w:spacing w:after="0" w:line="240" w:lineRule="auto"/>
              <w:jc w:val="center"/>
              <w:rPr>
                <w:rFonts w:ascii="Calibri" w:eastAsia="Times New Roman" w:hAnsi="Calibri" w:cs="Times New Roman"/>
                <w:color w:val="000000"/>
                <w:sz w:val="24"/>
                <w:szCs w:val="24"/>
                <w:lang w:eastAsia="es-SV"/>
              </w:rPr>
            </w:pPr>
            <w:r w:rsidRPr="00722A2A">
              <w:rPr>
                <w:rFonts w:ascii="Calibri" w:eastAsia="Times New Roman" w:hAnsi="Calibri" w:cs="Times New Roman"/>
                <w:color w:val="000000"/>
                <w:sz w:val="24"/>
                <w:szCs w:val="24"/>
                <w:lang w:eastAsia="es-SV"/>
              </w:rPr>
              <w:t>1.88</w:t>
            </w:r>
          </w:p>
        </w:tc>
      </w:tr>
      <w:tr w:rsidR="00F80647" w:rsidRPr="00722A2A" w:rsidTr="008830AD">
        <w:trPr>
          <w:trHeight w:val="330"/>
          <w:jc w:val="center"/>
        </w:trPr>
        <w:tc>
          <w:tcPr>
            <w:tcW w:w="0" w:type="auto"/>
            <w:tcBorders>
              <w:top w:val="nil"/>
              <w:left w:val="single" w:sz="8" w:space="0" w:color="8EAADB"/>
              <w:bottom w:val="single" w:sz="8" w:space="0" w:color="8EAADB"/>
              <w:right w:val="nil"/>
            </w:tcBorders>
            <w:shd w:val="clear" w:color="000000" w:fill="D9E2F3"/>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000000"/>
                <w:lang w:eastAsia="es-SV"/>
              </w:rPr>
            </w:pPr>
            <w:r w:rsidRPr="00722A2A">
              <w:rPr>
                <w:rFonts w:ascii="Calibri" w:eastAsia="Times New Roman" w:hAnsi="Calibri" w:cs="Times New Roman"/>
                <w:b/>
                <w:bCs/>
                <w:color w:val="000000"/>
                <w:lang w:eastAsia="es-SV"/>
              </w:rPr>
              <w:t>9</w:t>
            </w:r>
          </w:p>
        </w:tc>
        <w:tc>
          <w:tcPr>
            <w:tcW w:w="0" w:type="auto"/>
            <w:tcBorders>
              <w:top w:val="nil"/>
              <w:left w:val="nil"/>
              <w:bottom w:val="single" w:sz="8" w:space="0" w:color="8EAADB"/>
              <w:right w:val="nil"/>
            </w:tcBorders>
            <w:shd w:val="clear" w:color="000000" w:fill="D9E2F3"/>
            <w:noWrap/>
            <w:vAlign w:val="center"/>
            <w:hideMark/>
          </w:tcPr>
          <w:p w:rsidR="00F80647" w:rsidRPr="00722A2A" w:rsidRDefault="00F80647" w:rsidP="008830AD">
            <w:pPr>
              <w:spacing w:after="0" w:line="240" w:lineRule="auto"/>
              <w:rPr>
                <w:rFonts w:ascii="Calibri" w:eastAsia="Times New Roman" w:hAnsi="Calibri" w:cs="Times New Roman"/>
                <w:color w:val="000000"/>
                <w:lang w:eastAsia="es-SV"/>
              </w:rPr>
            </w:pPr>
            <w:r w:rsidRPr="00722A2A">
              <w:rPr>
                <w:rFonts w:ascii="Calibri" w:eastAsia="Times New Roman" w:hAnsi="Calibri" w:cs="Times New Roman"/>
                <w:color w:val="000000"/>
                <w:lang w:eastAsia="es-SV"/>
              </w:rPr>
              <w:t>FISDL</w:t>
            </w:r>
          </w:p>
        </w:tc>
        <w:tc>
          <w:tcPr>
            <w:tcW w:w="0" w:type="auto"/>
            <w:tcBorders>
              <w:top w:val="nil"/>
              <w:left w:val="nil"/>
              <w:bottom w:val="single" w:sz="8" w:space="0" w:color="8EAADB"/>
              <w:right w:val="single" w:sz="8" w:space="0" w:color="8EAADB"/>
            </w:tcBorders>
            <w:shd w:val="clear" w:color="000000" w:fill="D9E2F3"/>
            <w:noWrap/>
            <w:vAlign w:val="center"/>
            <w:hideMark/>
          </w:tcPr>
          <w:p w:rsidR="00F80647" w:rsidRPr="00722A2A" w:rsidRDefault="00F80647" w:rsidP="008830AD">
            <w:pPr>
              <w:spacing w:after="0" w:line="240" w:lineRule="auto"/>
              <w:jc w:val="center"/>
              <w:rPr>
                <w:rFonts w:ascii="Calibri" w:eastAsia="Times New Roman" w:hAnsi="Calibri" w:cs="Times New Roman"/>
                <w:color w:val="000000"/>
                <w:sz w:val="24"/>
                <w:szCs w:val="24"/>
                <w:lang w:eastAsia="es-SV"/>
              </w:rPr>
            </w:pPr>
            <w:r w:rsidRPr="00722A2A">
              <w:rPr>
                <w:rFonts w:ascii="Calibri" w:eastAsia="Times New Roman" w:hAnsi="Calibri" w:cs="Times New Roman"/>
                <w:color w:val="000000"/>
                <w:sz w:val="24"/>
                <w:szCs w:val="24"/>
                <w:lang w:eastAsia="es-SV"/>
              </w:rPr>
              <w:t>8.09</w:t>
            </w:r>
          </w:p>
        </w:tc>
        <w:tc>
          <w:tcPr>
            <w:tcW w:w="0" w:type="auto"/>
            <w:tcBorders>
              <w:top w:val="nil"/>
              <w:left w:val="nil"/>
              <w:bottom w:val="single" w:sz="8" w:space="0" w:color="8EAADB"/>
              <w:right w:val="nil"/>
            </w:tcBorders>
            <w:shd w:val="clear" w:color="000000" w:fill="D9E2F3"/>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000000"/>
                <w:lang w:eastAsia="es-SV"/>
              </w:rPr>
            </w:pPr>
            <w:r w:rsidRPr="00722A2A">
              <w:rPr>
                <w:rFonts w:ascii="Calibri" w:eastAsia="Times New Roman" w:hAnsi="Calibri" w:cs="Times New Roman"/>
                <w:b/>
                <w:bCs/>
                <w:color w:val="000000"/>
                <w:lang w:eastAsia="es-SV"/>
              </w:rPr>
              <w:t>95</w:t>
            </w:r>
          </w:p>
        </w:tc>
        <w:tc>
          <w:tcPr>
            <w:tcW w:w="0" w:type="auto"/>
            <w:tcBorders>
              <w:top w:val="nil"/>
              <w:left w:val="nil"/>
              <w:bottom w:val="single" w:sz="8" w:space="0" w:color="8EAADB"/>
              <w:right w:val="nil"/>
            </w:tcBorders>
            <w:shd w:val="clear" w:color="000000" w:fill="D9E2F3"/>
            <w:noWrap/>
            <w:vAlign w:val="center"/>
            <w:hideMark/>
          </w:tcPr>
          <w:p w:rsidR="00F80647" w:rsidRPr="00722A2A" w:rsidRDefault="00F80647" w:rsidP="008830AD">
            <w:pPr>
              <w:spacing w:after="0" w:line="240" w:lineRule="auto"/>
              <w:rPr>
                <w:rFonts w:ascii="Calibri" w:eastAsia="Times New Roman" w:hAnsi="Calibri" w:cs="Times New Roman"/>
                <w:color w:val="000000"/>
                <w:lang w:eastAsia="es-SV"/>
              </w:rPr>
            </w:pPr>
            <w:r w:rsidRPr="00722A2A">
              <w:rPr>
                <w:rFonts w:ascii="Calibri" w:eastAsia="Times New Roman" w:hAnsi="Calibri" w:cs="Times New Roman"/>
                <w:color w:val="000000"/>
                <w:lang w:eastAsia="es-SV"/>
              </w:rPr>
              <w:t>CVPCPA</w:t>
            </w:r>
          </w:p>
        </w:tc>
        <w:tc>
          <w:tcPr>
            <w:tcW w:w="0" w:type="auto"/>
            <w:tcBorders>
              <w:top w:val="nil"/>
              <w:left w:val="nil"/>
              <w:bottom w:val="single" w:sz="8" w:space="0" w:color="8EAADB"/>
              <w:right w:val="single" w:sz="8" w:space="0" w:color="8EAADB"/>
            </w:tcBorders>
            <w:shd w:val="clear" w:color="000000" w:fill="D9E2F3"/>
            <w:noWrap/>
            <w:vAlign w:val="center"/>
            <w:hideMark/>
          </w:tcPr>
          <w:p w:rsidR="00F80647" w:rsidRPr="00722A2A" w:rsidRDefault="00F80647" w:rsidP="008830AD">
            <w:pPr>
              <w:spacing w:after="0" w:line="240" w:lineRule="auto"/>
              <w:jc w:val="center"/>
              <w:rPr>
                <w:rFonts w:ascii="Calibri" w:eastAsia="Times New Roman" w:hAnsi="Calibri" w:cs="Times New Roman"/>
                <w:color w:val="000000"/>
                <w:sz w:val="24"/>
                <w:szCs w:val="24"/>
                <w:lang w:eastAsia="es-SV"/>
              </w:rPr>
            </w:pPr>
            <w:r w:rsidRPr="00722A2A">
              <w:rPr>
                <w:rFonts w:ascii="Calibri" w:eastAsia="Times New Roman" w:hAnsi="Calibri" w:cs="Times New Roman"/>
                <w:color w:val="000000"/>
                <w:sz w:val="24"/>
                <w:szCs w:val="24"/>
                <w:lang w:eastAsia="es-SV"/>
              </w:rPr>
              <w:t>1.71</w:t>
            </w:r>
          </w:p>
        </w:tc>
      </w:tr>
      <w:tr w:rsidR="00F80647" w:rsidRPr="00722A2A" w:rsidTr="008830AD">
        <w:trPr>
          <w:trHeight w:val="330"/>
          <w:jc w:val="center"/>
        </w:trPr>
        <w:tc>
          <w:tcPr>
            <w:tcW w:w="0" w:type="auto"/>
            <w:tcBorders>
              <w:top w:val="nil"/>
              <w:left w:val="single" w:sz="8" w:space="0" w:color="8EAADB"/>
              <w:bottom w:val="single" w:sz="8" w:space="0" w:color="8EAADB"/>
              <w:right w:val="nil"/>
            </w:tcBorders>
            <w:shd w:val="clear" w:color="auto" w:fill="auto"/>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000000"/>
                <w:lang w:eastAsia="es-SV"/>
              </w:rPr>
            </w:pPr>
            <w:r w:rsidRPr="00722A2A">
              <w:rPr>
                <w:rFonts w:ascii="Calibri" w:eastAsia="Times New Roman" w:hAnsi="Calibri" w:cs="Times New Roman"/>
                <w:b/>
                <w:bCs/>
                <w:color w:val="000000"/>
                <w:lang w:eastAsia="es-SV"/>
              </w:rPr>
              <w:t>10</w:t>
            </w:r>
          </w:p>
        </w:tc>
        <w:tc>
          <w:tcPr>
            <w:tcW w:w="0" w:type="auto"/>
            <w:tcBorders>
              <w:top w:val="nil"/>
              <w:left w:val="nil"/>
              <w:bottom w:val="single" w:sz="8" w:space="0" w:color="8EAADB"/>
              <w:right w:val="nil"/>
            </w:tcBorders>
            <w:shd w:val="clear" w:color="auto" w:fill="auto"/>
            <w:noWrap/>
            <w:vAlign w:val="center"/>
            <w:hideMark/>
          </w:tcPr>
          <w:p w:rsidR="00F80647" w:rsidRPr="00722A2A" w:rsidRDefault="00F80647" w:rsidP="008830AD">
            <w:pPr>
              <w:spacing w:after="0" w:line="240" w:lineRule="auto"/>
              <w:rPr>
                <w:rFonts w:ascii="Calibri" w:eastAsia="Times New Roman" w:hAnsi="Calibri" w:cs="Times New Roman"/>
                <w:color w:val="000000"/>
                <w:lang w:eastAsia="es-SV"/>
              </w:rPr>
            </w:pPr>
            <w:r w:rsidRPr="00722A2A">
              <w:rPr>
                <w:rFonts w:ascii="Calibri" w:eastAsia="Times New Roman" w:hAnsi="Calibri" w:cs="Times New Roman"/>
                <w:color w:val="000000"/>
                <w:lang w:eastAsia="es-SV"/>
              </w:rPr>
              <w:t>ISSS</w:t>
            </w:r>
          </w:p>
        </w:tc>
        <w:tc>
          <w:tcPr>
            <w:tcW w:w="0" w:type="auto"/>
            <w:tcBorders>
              <w:top w:val="nil"/>
              <w:left w:val="nil"/>
              <w:bottom w:val="single" w:sz="8" w:space="0" w:color="8EAADB"/>
              <w:right w:val="single" w:sz="8" w:space="0" w:color="8EAADB"/>
            </w:tcBorders>
            <w:shd w:val="clear" w:color="auto" w:fill="auto"/>
            <w:noWrap/>
            <w:vAlign w:val="center"/>
            <w:hideMark/>
          </w:tcPr>
          <w:p w:rsidR="00F80647" w:rsidRPr="00722A2A" w:rsidRDefault="00F80647" w:rsidP="008830AD">
            <w:pPr>
              <w:spacing w:after="0" w:line="240" w:lineRule="auto"/>
              <w:jc w:val="center"/>
              <w:rPr>
                <w:rFonts w:ascii="Calibri" w:eastAsia="Times New Roman" w:hAnsi="Calibri" w:cs="Times New Roman"/>
                <w:color w:val="000000"/>
                <w:sz w:val="24"/>
                <w:szCs w:val="24"/>
                <w:lang w:eastAsia="es-SV"/>
              </w:rPr>
            </w:pPr>
            <w:r w:rsidRPr="00722A2A">
              <w:rPr>
                <w:rFonts w:ascii="Calibri" w:eastAsia="Times New Roman" w:hAnsi="Calibri" w:cs="Times New Roman"/>
                <w:color w:val="000000"/>
                <w:sz w:val="24"/>
                <w:szCs w:val="24"/>
                <w:lang w:eastAsia="es-SV"/>
              </w:rPr>
              <w:t>8.09</w:t>
            </w:r>
          </w:p>
        </w:tc>
        <w:tc>
          <w:tcPr>
            <w:tcW w:w="0" w:type="auto"/>
            <w:tcBorders>
              <w:top w:val="nil"/>
              <w:left w:val="nil"/>
              <w:bottom w:val="single" w:sz="8" w:space="0" w:color="8EAADB"/>
              <w:right w:val="nil"/>
            </w:tcBorders>
            <w:shd w:val="clear" w:color="auto" w:fill="auto"/>
            <w:noWrap/>
            <w:vAlign w:val="center"/>
            <w:hideMark/>
          </w:tcPr>
          <w:p w:rsidR="00F80647" w:rsidRPr="00722A2A" w:rsidRDefault="00F80647" w:rsidP="008830AD">
            <w:pPr>
              <w:spacing w:after="0" w:line="240" w:lineRule="auto"/>
              <w:jc w:val="center"/>
              <w:rPr>
                <w:rFonts w:ascii="Calibri" w:eastAsia="Times New Roman" w:hAnsi="Calibri" w:cs="Times New Roman"/>
                <w:b/>
                <w:bCs/>
                <w:color w:val="000000"/>
                <w:lang w:eastAsia="es-SV"/>
              </w:rPr>
            </w:pPr>
            <w:r w:rsidRPr="00722A2A">
              <w:rPr>
                <w:rFonts w:ascii="Calibri" w:eastAsia="Times New Roman" w:hAnsi="Calibri" w:cs="Times New Roman"/>
                <w:b/>
                <w:bCs/>
                <w:color w:val="000000"/>
                <w:lang w:eastAsia="es-SV"/>
              </w:rPr>
              <w:t>96</w:t>
            </w:r>
          </w:p>
        </w:tc>
        <w:tc>
          <w:tcPr>
            <w:tcW w:w="0" w:type="auto"/>
            <w:tcBorders>
              <w:top w:val="nil"/>
              <w:left w:val="nil"/>
              <w:bottom w:val="single" w:sz="8" w:space="0" w:color="8EAADB"/>
              <w:right w:val="nil"/>
            </w:tcBorders>
            <w:shd w:val="clear" w:color="auto" w:fill="auto"/>
            <w:noWrap/>
            <w:vAlign w:val="center"/>
            <w:hideMark/>
          </w:tcPr>
          <w:p w:rsidR="00F80647" w:rsidRPr="00722A2A" w:rsidRDefault="00F80647" w:rsidP="008830AD">
            <w:pPr>
              <w:spacing w:after="0" w:line="240" w:lineRule="auto"/>
              <w:rPr>
                <w:rFonts w:ascii="Calibri" w:eastAsia="Times New Roman" w:hAnsi="Calibri" w:cs="Times New Roman"/>
                <w:color w:val="000000"/>
                <w:lang w:eastAsia="es-SV"/>
              </w:rPr>
            </w:pPr>
            <w:r w:rsidRPr="00722A2A">
              <w:rPr>
                <w:rFonts w:ascii="Calibri" w:eastAsia="Times New Roman" w:hAnsi="Calibri" w:cs="Times New Roman"/>
                <w:color w:val="000000"/>
                <w:lang w:eastAsia="es-SV"/>
              </w:rPr>
              <w:t>FONAES</w:t>
            </w:r>
          </w:p>
        </w:tc>
        <w:tc>
          <w:tcPr>
            <w:tcW w:w="0" w:type="auto"/>
            <w:tcBorders>
              <w:top w:val="nil"/>
              <w:left w:val="nil"/>
              <w:bottom w:val="single" w:sz="8" w:space="0" w:color="8EAADB"/>
              <w:right w:val="single" w:sz="8" w:space="0" w:color="8EAADB"/>
            </w:tcBorders>
            <w:shd w:val="clear" w:color="auto" w:fill="auto"/>
            <w:noWrap/>
            <w:vAlign w:val="center"/>
            <w:hideMark/>
          </w:tcPr>
          <w:p w:rsidR="00F80647" w:rsidRPr="00722A2A" w:rsidRDefault="00F80647" w:rsidP="008830AD">
            <w:pPr>
              <w:spacing w:after="0" w:line="240" w:lineRule="auto"/>
              <w:jc w:val="center"/>
              <w:rPr>
                <w:rFonts w:ascii="Calibri" w:eastAsia="Times New Roman" w:hAnsi="Calibri" w:cs="Times New Roman"/>
                <w:color w:val="000000"/>
                <w:sz w:val="24"/>
                <w:szCs w:val="24"/>
                <w:lang w:eastAsia="es-SV"/>
              </w:rPr>
            </w:pPr>
            <w:r w:rsidRPr="00722A2A">
              <w:rPr>
                <w:rFonts w:ascii="Calibri" w:eastAsia="Times New Roman" w:hAnsi="Calibri" w:cs="Times New Roman"/>
                <w:color w:val="000000"/>
                <w:sz w:val="24"/>
                <w:szCs w:val="24"/>
                <w:lang w:eastAsia="es-SV"/>
              </w:rPr>
              <w:t>1.12</w:t>
            </w:r>
          </w:p>
        </w:tc>
      </w:tr>
    </w:tbl>
    <w:p w:rsidR="008954CB" w:rsidRDefault="008954CB" w:rsidP="00C805DC">
      <w:pPr>
        <w:pStyle w:val="NormalWeb"/>
        <w:shd w:val="clear" w:color="auto" w:fill="FFFFFF"/>
        <w:spacing w:after="300" w:line="276" w:lineRule="auto"/>
        <w:jc w:val="both"/>
        <w:textAlignment w:val="baseline"/>
        <w:rPr>
          <w:bCs/>
          <w:sz w:val="22"/>
          <w:szCs w:val="22"/>
          <w:bdr w:val="none" w:sz="0" w:space="0" w:color="auto" w:frame="1"/>
          <w:lang w:val="es-SV" w:eastAsia="es-SV"/>
        </w:rPr>
      </w:pPr>
    </w:p>
    <w:p w:rsidR="0005178D" w:rsidRPr="00160A8D" w:rsidRDefault="0005178D" w:rsidP="00160A8D">
      <w:pPr>
        <w:jc w:val="both"/>
        <w:rPr>
          <w:rFonts w:ascii="Times New Roman" w:hAnsi="Times New Roman" w:cs="Times New Roman"/>
        </w:rPr>
      </w:pPr>
      <w:r w:rsidRPr="00160A8D">
        <w:rPr>
          <w:rFonts w:ascii="Times New Roman" w:hAnsi="Times New Roman" w:cs="Times New Roman"/>
        </w:rPr>
        <w:t>La primera mitad de 2018 se dedicó a la realización de un seguimiento a los resultados del proceso de fiscalización de municipalidades llevado a cabo en el primer semestre de 2017, que incluyó los componentes de publicación de información oficiosa y gestión documental y archivos. Para tal fin, se realizó un sondeo previo a las 42 municipalidades evaluadas anteriormente, sobre los avances realizados durante el período de un año entre los dos ejercicios. Con estos resultados como base se planificó una jornada de visitas a las instituciones que declararon tener avances significativos en las materias evaluadas a las que se sumaron todas las cabeceras departamentales, el seguimiento al resto de municipalidades se realizó a distancia.</w:t>
      </w:r>
    </w:p>
    <w:p w:rsidR="0005178D" w:rsidRPr="00160A8D" w:rsidRDefault="0005178D" w:rsidP="00160A8D">
      <w:pPr>
        <w:jc w:val="both"/>
        <w:rPr>
          <w:rFonts w:ascii="Times New Roman" w:hAnsi="Times New Roman" w:cs="Times New Roman"/>
        </w:rPr>
      </w:pPr>
      <w:r w:rsidRPr="00160A8D">
        <w:rPr>
          <w:rFonts w:ascii="Times New Roman" w:hAnsi="Times New Roman" w:cs="Times New Roman"/>
        </w:rPr>
        <w:t>Por disposición del Pleno del Instituto, en atención a las inquietudes presentadas por oficiales de información de algunas instituciones evaluadas en el Proceso de Fiscalización de Transparencia Institucional, a partir de abril de 2018, se conformó una comisión para la revisión del modelo de fiscalización actualmente vigente.</w:t>
      </w:r>
    </w:p>
    <w:p w:rsidR="0005178D" w:rsidRPr="0005178D" w:rsidRDefault="0005178D" w:rsidP="00160A8D">
      <w:pPr>
        <w:pStyle w:val="NormalWeb"/>
        <w:shd w:val="clear" w:color="auto" w:fill="FFFFFF"/>
        <w:spacing w:after="300" w:line="276" w:lineRule="auto"/>
        <w:jc w:val="both"/>
        <w:textAlignment w:val="baseline"/>
        <w:rPr>
          <w:bCs/>
          <w:sz w:val="22"/>
          <w:szCs w:val="22"/>
          <w:bdr w:val="none" w:sz="0" w:space="0" w:color="auto" w:frame="1"/>
          <w:lang w:val="es-SV" w:eastAsia="es-SV"/>
        </w:rPr>
      </w:pPr>
      <w:r w:rsidRPr="0005178D">
        <w:rPr>
          <w:sz w:val="22"/>
          <w:szCs w:val="22"/>
        </w:rPr>
        <w:t>Desde esa fecha se ha comenzado a formular un nuevo modelo de evaluación de desempeño en cumplimiento de la LAIP que sustituirá al modelo que actualmente se aplica.</w:t>
      </w:r>
    </w:p>
    <w:p w:rsidR="00AE3262" w:rsidRDefault="00F80647" w:rsidP="00AE3262">
      <w:pPr>
        <w:pStyle w:val="NormalWeb"/>
        <w:shd w:val="clear" w:color="auto" w:fill="FFFFFF"/>
        <w:spacing w:after="300" w:line="276" w:lineRule="auto"/>
        <w:jc w:val="both"/>
        <w:textAlignment w:val="baseline"/>
        <w:rPr>
          <w:b/>
          <w:bCs/>
          <w:sz w:val="22"/>
          <w:szCs w:val="22"/>
          <w:bdr w:val="none" w:sz="0" w:space="0" w:color="auto" w:frame="1"/>
          <w:lang w:val="es-SV" w:eastAsia="es-SV"/>
        </w:rPr>
      </w:pPr>
      <w:r>
        <w:rPr>
          <w:b/>
          <w:bCs/>
          <w:sz w:val="22"/>
          <w:szCs w:val="22"/>
          <w:bdr w:val="none" w:sz="0" w:space="0" w:color="auto" w:frame="1"/>
          <w:lang w:val="es-SV" w:eastAsia="es-SV"/>
        </w:rPr>
        <w:t>A</w:t>
      </w:r>
      <w:r w:rsidR="00AE3262" w:rsidRPr="00DB7B1B">
        <w:rPr>
          <w:b/>
          <w:bCs/>
          <w:sz w:val="22"/>
          <w:szCs w:val="22"/>
          <w:bdr w:val="none" w:sz="0" w:space="0" w:color="auto" w:frame="1"/>
          <w:lang w:val="es-SV" w:eastAsia="es-SV"/>
        </w:rPr>
        <w:t>tención de casos</w:t>
      </w:r>
    </w:p>
    <w:p w:rsidR="00CC02E6" w:rsidRPr="00DB7B1B" w:rsidRDefault="00CC02E6" w:rsidP="00AE3262">
      <w:pPr>
        <w:pStyle w:val="NormalWeb"/>
        <w:shd w:val="clear" w:color="auto" w:fill="FFFFFF"/>
        <w:spacing w:after="300" w:line="276" w:lineRule="auto"/>
        <w:jc w:val="both"/>
        <w:textAlignment w:val="baseline"/>
        <w:rPr>
          <w:b/>
          <w:bCs/>
          <w:sz w:val="22"/>
          <w:szCs w:val="22"/>
          <w:bdr w:val="none" w:sz="0" w:space="0" w:color="auto" w:frame="1"/>
          <w:lang w:val="es-SV" w:eastAsia="es-SV"/>
        </w:rPr>
      </w:pPr>
      <w:r>
        <w:rPr>
          <w:b/>
          <w:bCs/>
          <w:sz w:val="22"/>
          <w:szCs w:val="22"/>
          <w:bdr w:val="none" w:sz="0" w:space="0" w:color="auto" w:frame="1"/>
          <w:lang w:val="es-SV" w:eastAsia="es-SV"/>
        </w:rPr>
        <w:t>Acceso a la Información Pública</w:t>
      </w:r>
    </w:p>
    <w:p w:rsidR="00C33804" w:rsidRDefault="00C33804" w:rsidP="00AE3262">
      <w:pPr>
        <w:pStyle w:val="NormalWeb"/>
        <w:shd w:val="clear" w:color="auto" w:fill="FFFFFF"/>
        <w:spacing w:after="300" w:line="276" w:lineRule="auto"/>
        <w:jc w:val="both"/>
        <w:textAlignment w:val="baseline"/>
        <w:rPr>
          <w:bCs/>
          <w:sz w:val="22"/>
          <w:szCs w:val="22"/>
          <w:bdr w:val="none" w:sz="0" w:space="0" w:color="auto" w:frame="1"/>
          <w:lang w:val="es-SV" w:eastAsia="es-SV"/>
        </w:rPr>
      </w:pPr>
      <w:r w:rsidRPr="00C33804">
        <w:rPr>
          <w:bCs/>
          <w:sz w:val="22"/>
          <w:szCs w:val="22"/>
          <w:bdr w:val="none" w:sz="0" w:space="0" w:color="auto" w:frame="1"/>
          <w:lang w:val="es-SV" w:eastAsia="es-SV"/>
        </w:rPr>
        <w:t>En el período evaluado se conocieron 389 casos</w:t>
      </w:r>
      <w:r w:rsidR="00CC02E6">
        <w:rPr>
          <w:bCs/>
          <w:sz w:val="22"/>
          <w:szCs w:val="22"/>
          <w:bdr w:val="none" w:sz="0" w:space="0" w:color="auto" w:frame="1"/>
          <w:lang w:val="es-SV" w:eastAsia="es-SV"/>
        </w:rPr>
        <w:t xml:space="preserve"> en materia de acceso a la información pública</w:t>
      </w:r>
      <w:r w:rsidRPr="00C33804">
        <w:rPr>
          <w:bCs/>
          <w:sz w:val="22"/>
          <w:szCs w:val="22"/>
          <w:bdr w:val="none" w:sz="0" w:space="0" w:color="auto" w:frame="1"/>
          <w:lang w:val="es-SV" w:eastAsia="es-SV"/>
        </w:rPr>
        <w:t xml:space="preserve">, </w:t>
      </w:r>
      <w:r w:rsidR="00CC02E6">
        <w:rPr>
          <w:bCs/>
          <w:sz w:val="22"/>
          <w:szCs w:val="22"/>
          <w:bdr w:val="none" w:sz="0" w:space="0" w:color="auto" w:frame="1"/>
          <w:lang w:val="es-SV" w:eastAsia="es-SV"/>
        </w:rPr>
        <w:t xml:space="preserve">pudiendo evidenciarse que los recursos más utilizados por la población solicitante, en este ámbito, son </w:t>
      </w:r>
      <w:r w:rsidRPr="00C33804">
        <w:rPr>
          <w:bCs/>
          <w:sz w:val="22"/>
          <w:szCs w:val="22"/>
          <w:bdr w:val="none" w:sz="0" w:space="0" w:color="auto" w:frame="1"/>
          <w:lang w:val="es-SV" w:eastAsia="es-SV"/>
        </w:rPr>
        <w:t>las apelaciones contra la diversidad de entes obligados, seguido de las faltas de respuestas y sancionatorios por alguna infracción establecida en el a</w:t>
      </w:r>
      <w:r>
        <w:rPr>
          <w:bCs/>
          <w:sz w:val="22"/>
          <w:szCs w:val="22"/>
          <w:bdr w:val="none" w:sz="0" w:space="0" w:color="auto" w:frame="1"/>
          <w:lang w:val="es-SV" w:eastAsia="es-SV"/>
        </w:rPr>
        <w:t>rt. 76 de la LAIP.</w:t>
      </w:r>
    </w:p>
    <w:p w:rsidR="00C40737" w:rsidRDefault="00C40737" w:rsidP="00AE3262">
      <w:pPr>
        <w:pStyle w:val="NormalWeb"/>
        <w:shd w:val="clear" w:color="auto" w:fill="FFFFFF"/>
        <w:spacing w:after="300" w:line="276" w:lineRule="auto"/>
        <w:jc w:val="both"/>
        <w:textAlignment w:val="baseline"/>
        <w:rPr>
          <w:bCs/>
          <w:sz w:val="22"/>
          <w:szCs w:val="22"/>
          <w:bdr w:val="none" w:sz="0" w:space="0" w:color="auto" w:frame="1"/>
          <w:lang w:val="es-SV" w:eastAsia="es-SV"/>
        </w:rPr>
      </w:pPr>
    </w:p>
    <w:p w:rsidR="00C40737" w:rsidRPr="001F7B9E" w:rsidRDefault="00C40737" w:rsidP="00AE3262">
      <w:pPr>
        <w:pStyle w:val="NormalWeb"/>
        <w:shd w:val="clear" w:color="auto" w:fill="FFFFFF"/>
        <w:spacing w:after="300" w:line="276" w:lineRule="auto"/>
        <w:jc w:val="both"/>
        <w:textAlignment w:val="baseline"/>
        <w:rPr>
          <w:bCs/>
          <w:sz w:val="22"/>
          <w:szCs w:val="22"/>
          <w:bdr w:val="none" w:sz="0" w:space="0" w:color="auto" w:frame="1"/>
          <w:lang w:val="es-SV" w:eastAsia="es-SV"/>
        </w:rPr>
      </w:pPr>
    </w:p>
    <w:tbl>
      <w:tblPr>
        <w:tblStyle w:val="Tabladecuadrcula5oscura-nfasis1"/>
        <w:tblW w:w="7083" w:type="dxa"/>
        <w:jc w:val="center"/>
        <w:tblLayout w:type="fixed"/>
        <w:tblLook w:val="0400" w:firstRow="0" w:lastRow="0" w:firstColumn="0" w:lastColumn="0" w:noHBand="0" w:noVBand="1"/>
      </w:tblPr>
      <w:tblGrid>
        <w:gridCol w:w="4248"/>
        <w:gridCol w:w="1134"/>
        <w:gridCol w:w="850"/>
        <w:gridCol w:w="851"/>
      </w:tblGrid>
      <w:tr w:rsidR="00C92889" w:rsidRPr="005C5F90" w:rsidTr="000230D5">
        <w:trPr>
          <w:cnfStyle w:val="000000100000" w:firstRow="0" w:lastRow="0" w:firstColumn="0" w:lastColumn="0" w:oddVBand="0" w:evenVBand="0" w:oddHBand="1" w:evenHBand="0" w:firstRowFirstColumn="0" w:firstRowLastColumn="0" w:lastRowFirstColumn="0" w:lastRowLastColumn="0"/>
          <w:trHeight w:val="247"/>
          <w:jc w:val="center"/>
        </w:trPr>
        <w:tc>
          <w:tcPr>
            <w:tcW w:w="4248" w:type="dxa"/>
            <w:shd w:val="clear" w:color="auto" w:fill="5B9BD5" w:themeFill="accent1"/>
            <w:hideMark/>
          </w:tcPr>
          <w:p w:rsidR="00C92889" w:rsidRPr="00C92889" w:rsidRDefault="00C92889" w:rsidP="00D306FD">
            <w:pPr>
              <w:jc w:val="center"/>
              <w:rPr>
                <w:rFonts w:ascii="Arial" w:eastAsia="Calibri" w:hAnsi="Arial" w:cs="Arial"/>
                <w:b/>
                <w:sz w:val="20"/>
                <w:lang w:val="es-ES"/>
              </w:rPr>
            </w:pPr>
            <w:r w:rsidRPr="00C92889">
              <w:rPr>
                <w:rFonts w:ascii="Arial" w:eastAsia="Calibri" w:hAnsi="Arial" w:cs="Arial"/>
                <w:b/>
                <w:sz w:val="20"/>
                <w:lang w:val="es-ES"/>
              </w:rPr>
              <w:lastRenderedPageBreak/>
              <w:t>Procedimiento</w:t>
            </w:r>
          </w:p>
        </w:tc>
        <w:tc>
          <w:tcPr>
            <w:tcW w:w="1134" w:type="dxa"/>
            <w:shd w:val="clear" w:color="auto" w:fill="5B9BD5" w:themeFill="accent1"/>
            <w:hideMark/>
          </w:tcPr>
          <w:p w:rsidR="00C92889" w:rsidRPr="00C92889" w:rsidRDefault="00C92889" w:rsidP="00D306FD">
            <w:pPr>
              <w:jc w:val="center"/>
              <w:rPr>
                <w:rFonts w:ascii="Arial" w:eastAsia="Calibri" w:hAnsi="Arial" w:cs="Arial"/>
                <w:b/>
                <w:sz w:val="20"/>
                <w:lang w:val="es-ES"/>
              </w:rPr>
            </w:pPr>
            <w:r w:rsidRPr="00C92889">
              <w:rPr>
                <w:rFonts w:ascii="Arial" w:eastAsia="Calibri" w:hAnsi="Arial" w:cs="Arial"/>
                <w:b/>
                <w:sz w:val="20"/>
                <w:lang w:val="es-ES"/>
              </w:rPr>
              <w:t>2017</w:t>
            </w:r>
          </w:p>
        </w:tc>
        <w:tc>
          <w:tcPr>
            <w:tcW w:w="850" w:type="dxa"/>
            <w:shd w:val="clear" w:color="auto" w:fill="5B9BD5" w:themeFill="accent1"/>
            <w:hideMark/>
          </w:tcPr>
          <w:p w:rsidR="00C92889" w:rsidRPr="00C92889" w:rsidRDefault="00C92889" w:rsidP="00D306FD">
            <w:pPr>
              <w:jc w:val="center"/>
              <w:rPr>
                <w:rFonts w:ascii="Arial" w:eastAsia="Calibri" w:hAnsi="Arial" w:cs="Arial"/>
                <w:b/>
                <w:sz w:val="20"/>
                <w:lang w:val="es-ES"/>
              </w:rPr>
            </w:pPr>
            <w:r w:rsidRPr="00C92889">
              <w:rPr>
                <w:rFonts w:ascii="Arial" w:eastAsia="Calibri" w:hAnsi="Arial" w:cs="Arial"/>
                <w:b/>
                <w:sz w:val="20"/>
                <w:lang w:val="es-ES"/>
              </w:rPr>
              <w:t>2018</w:t>
            </w:r>
          </w:p>
        </w:tc>
        <w:tc>
          <w:tcPr>
            <w:tcW w:w="851" w:type="dxa"/>
            <w:shd w:val="clear" w:color="auto" w:fill="5B9BD5" w:themeFill="accent1"/>
            <w:hideMark/>
          </w:tcPr>
          <w:p w:rsidR="00C92889" w:rsidRPr="00C92889" w:rsidRDefault="00C92889" w:rsidP="00D306FD">
            <w:pPr>
              <w:jc w:val="center"/>
              <w:rPr>
                <w:rFonts w:ascii="Arial" w:eastAsia="Calibri" w:hAnsi="Arial" w:cs="Arial"/>
                <w:b/>
                <w:sz w:val="20"/>
                <w:lang w:val="es-ES"/>
              </w:rPr>
            </w:pPr>
            <w:r w:rsidRPr="00C92889">
              <w:rPr>
                <w:rFonts w:ascii="Arial" w:eastAsia="Calibri" w:hAnsi="Arial" w:cs="Arial"/>
                <w:b/>
                <w:sz w:val="20"/>
                <w:lang w:val="es-ES"/>
              </w:rPr>
              <w:t>Total</w:t>
            </w:r>
          </w:p>
        </w:tc>
      </w:tr>
      <w:tr w:rsidR="00C92889" w:rsidRPr="005C5F90" w:rsidTr="000230D5">
        <w:trPr>
          <w:trHeight w:val="247"/>
          <w:jc w:val="center"/>
        </w:trPr>
        <w:tc>
          <w:tcPr>
            <w:tcW w:w="4248" w:type="dxa"/>
            <w:hideMark/>
          </w:tcPr>
          <w:p w:rsidR="00C92889" w:rsidRPr="005C5F90" w:rsidRDefault="00C92889" w:rsidP="00D306FD">
            <w:pPr>
              <w:jc w:val="center"/>
              <w:rPr>
                <w:rFonts w:ascii="Arial" w:eastAsia="Calibri" w:hAnsi="Arial" w:cs="Arial"/>
                <w:sz w:val="20"/>
                <w:lang w:val="es-ES"/>
              </w:rPr>
            </w:pPr>
            <w:r w:rsidRPr="005C5F90">
              <w:rPr>
                <w:rFonts w:ascii="Arial" w:eastAsia="Calibri" w:hAnsi="Arial" w:cs="Arial"/>
                <w:sz w:val="20"/>
                <w:lang w:val="es-ES"/>
              </w:rPr>
              <w:t>Apelación de acceso a información pública</w:t>
            </w:r>
          </w:p>
        </w:tc>
        <w:tc>
          <w:tcPr>
            <w:tcW w:w="1134" w:type="dxa"/>
            <w:hideMark/>
          </w:tcPr>
          <w:p w:rsidR="00C92889" w:rsidRPr="005C5F90" w:rsidRDefault="00C92889" w:rsidP="00A51A39">
            <w:pPr>
              <w:jc w:val="right"/>
              <w:rPr>
                <w:rFonts w:ascii="Arial" w:eastAsia="Calibri" w:hAnsi="Arial" w:cs="Arial"/>
                <w:sz w:val="20"/>
                <w:lang w:val="es-ES"/>
              </w:rPr>
            </w:pPr>
            <w:r w:rsidRPr="005C5F90">
              <w:rPr>
                <w:rFonts w:ascii="Arial" w:eastAsia="Calibri" w:hAnsi="Arial" w:cs="Arial"/>
                <w:sz w:val="20"/>
                <w:lang w:val="es-ES"/>
              </w:rPr>
              <w:t>100</w:t>
            </w:r>
          </w:p>
        </w:tc>
        <w:tc>
          <w:tcPr>
            <w:tcW w:w="850" w:type="dxa"/>
            <w:hideMark/>
          </w:tcPr>
          <w:p w:rsidR="00C92889" w:rsidRPr="005C5F90" w:rsidRDefault="00C92889" w:rsidP="00A51A39">
            <w:pPr>
              <w:jc w:val="right"/>
              <w:rPr>
                <w:rFonts w:ascii="Arial" w:eastAsia="Calibri" w:hAnsi="Arial" w:cs="Arial"/>
                <w:sz w:val="20"/>
                <w:lang w:val="es-ES"/>
              </w:rPr>
            </w:pPr>
            <w:r w:rsidRPr="005C5F90">
              <w:rPr>
                <w:rFonts w:ascii="Arial" w:eastAsia="Calibri" w:hAnsi="Arial" w:cs="Arial"/>
                <w:sz w:val="20"/>
                <w:lang w:val="es-ES"/>
              </w:rPr>
              <w:t>166</w:t>
            </w:r>
          </w:p>
        </w:tc>
        <w:tc>
          <w:tcPr>
            <w:tcW w:w="851" w:type="dxa"/>
            <w:hideMark/>
          </w:tcPr>
          <w:p w:rsidR="00C92889" w:rsidRPr="005C5F90" w:rsidRDefault="00C92889" w:rsidP="00A51A39">
            <w:pPr>
              <w:jc w:val="right"/>
              <w:rPr>
                <w:rFonts w:ascii="Arial" w:eastAsia="Calibri" w:hAnsi="Arial" w:cs="Arial"/>
                <w:sz w:val="20"/>
                <w:lang w:val="es-ES"/>
              </w:rPr>
            </w:pPr>
            <w:r w:rsidRPr="005C5F90">
              <w:rPr>
                <w:rFonts w:ascii="Arial" w:eastAsia="Calibri" w:hAnsi="Arial" w:cs="Arial"/>
                <w:sz w:val="20"/>
                <w:lang w:val="es-ES"/>
              </w:rPr>
              <w:t>266</w:t>
            </w:r>
          </w:p>
        </w:tc>
      </w:tr>
      <w:tr w:rsidR="00C92889" w:rsidRPr="005C5F90" w:rsidTr="000230D5">
        <w:trPr>
          <w:cnfStyle w:val="000000100000" w:firstRow="0" w:lastRow="0" w:firstColumn="0" w:lastColumn="0" w:oddVBand="0" w:evenVBand="0" w:oddHBand="1" w:evenHBand="0" w:firstRowFirstColumn="0" w:firstRowLastColumn="0" w:lastRowFirstColumn="0" w:lastRowLastColumn="0"/>
          <w:trHeight w:val="247"/>
          <w:jc w:val="center"/>
        </w:trPr>
        <w:tc>
          <w:tcPr>
            <w:tcW w:w="4248" w:type="dxa"/>
            <w:hideMark/>
          </w:tcPr>
          <w:p w:rsidR="00C92889" w:rsidRPr="005C5F90" w:rsidRDefault="00C92889" w:rsidP="00D306FD">
            <w:pPr>
              <w:jc w:val="center"/>
              <w:rPr>
                <w:rFonts w:ascii="Arial" w:eastAsia="Calibri" w:hAnsi="Arial" w:cs="Arial"/>
                <w:sz w:val="20"/>
                <w:lang w:val="es-ES"/>
              </w:rPr>
            </w:pPr>
            <w:r w:rsidRPr="005C5F90">
              <w:rPr>
                <w:rFonts w:ascii="Arial" w:eastAsia="Calibri" w:hAnsi="Arial" w:cs="Arial"/>
                <w:sz w:val="20"/>
                <w:lang w:val="es-ES"/>
              </w:rPr>
              <w:t>Falta de respuesta</w:t>
            </w:r>
          </w:p>
        </w:tc>
        <w:tc>
          <w:tcPr>
            <w:tcW w:w="1134" w:type="dxa"/>
            <w:hideMark/>
          </w:tcPr>
          <w:p w:rsidR="00C92889" w:rsidRPr="005C5F90" w:rsidRDefault="00C92889" w:rsidP="00A51A39">
            <w:pPr>
              <w:jc w:val="right"/>
              <w:rPr>
                <w:rFonts w:ascii="Arial" w:eastAsia="Calibri" w:hAnsi="Arial" w:cs="Arial"/>
                <w:sz w:val="20"/>
                <w:lang w:val="es-ES"/>
              </w:rPr>
            </w:pPr>
            <w:r w:rsidRPr="005C5F90">
              <w:rPr>
                <w:rFonts w:ascii="Arial" w:eastAsia="Calibri" w:hAnsi="Arial" w:cs="Arial"/>
                <w:sz w:val="20"/>
                <w:lang w:val="es-ES"/>
              </w:rPr>
              <w:t>27</w:t>
            </w:r>
          </w:p>
        </w:tc>
        <w:tc>
          <w:tcPr>
            <w:tcW w:w="850" w:type="dxa"/>
            <w:hideMark/>
          </w:tcPr>
          <w:p w:rsidR="00C92889" w:rsidRPr="005C5F90" w:rsidRDefault="00C92889" w:rsidP="00A51A39">
            <w:pPr>
              <w:jc w:val="right"/>
              <w:rPr>
                <w:rFonts w:ascii="Arial" w:eastAsia="Calibri" w:hAnsi="Arial" w:cs="Arial"/>
                <w:sz w:val="20"/>
                <w:lang w:val="es-ES"/>
              </w:rPr>
            </w:pPr>
            <w:r w:rsidRPr="005C5F90">
              <w:rPr>
                <w:rFonts w:ascii="Arial" w:eastAsia="Calibri" w:hAnsi="Arial" w:cs="Arial"/>
                <w:sz w:val="20"/>
                <w:lang w:val="es-ES"/>
              </w:rPr>
              <w:t>55</w:t>
            </w:r>
          </w:p>
        </w:tc>
        <w:tc>
          <w:tcPr>
            <w:tcW w:w="851" w:type="dxa"/>
            <w:hideMark/>
          </w:tcPr>
          <w:p w:rsidR="00C92889" w:rsidRPr="005C5F90" w:rsidRDefault="00C92889" w:rsidP="00A51A39">
            <w:pPr>
              <w:jc w:val="right"/>
              <w:rPr>
                <w:rFonts w:ascii="Arial" w:eastAsia="Calibri" w:hAnsi="Arial" w:cs="Arial"/>
                <w:sz w:val="20"/>
                <w:lang w:val="es-ES"/>
              </w:rPr>
            </w:pPr>
            <w:r w:rsidRPr="005C5F90">
              <w:rPr>
                <w:rFonts w:ascii="Arial" w:eastAsia="Calibri" w:hAnsi="Arial" w:cs="Arial"/>
                <w:sz w:val="20"/>
                <w:lang w:val="es-ES"/>
              </w:rPr>
              <w:t>82</w:t>
            </w:r>
          </w:p>
        </w:tc>
      </w:tr>
      <w:tr w:rsidR="00C92889" w:rsidRPr="005C5F90" w:rsidTr="000230D5">
        <w:trPr>
          <w:trHeight w:val="247"/>
          <w:jc w:val="center"/>
        </w:trPr>
        <w:tc>
          <w:tcPr>
            <w:tcW w:w="4248" w:type="dxa"/>
            <w:hideMark/>
          </w:tcPr>
          <w:p w:rsidR="00C92889" w:rsidRPr="005C5F90" w:rsidRDefault="00C92889" w:rsidP="00D306FD">
            <w:pPr>
              <w:jc w:val="center"/>
              <w:rPr>
                <w:rFonts w:ascii="Arial" w:eastAsia="Calibri" w:hAnsi="Arial" w:cs="Arial"/>
                <w:sz w:val="20"/>
                <w:lang w:val="es-ES"/>
              </w:rPr>
            </w:pPr>
            <w:r w:rsidRPr="005C5F90">
              <w:rPr>
                <w:rFonts w:ascii="Arial" w:eastAsia="Calibri" w:hAnsi="Arial" w:cs="Arial"/>
                <w:sz w:val="20"/>
                <w:lang w:val="es-ES"/>
              </w:rPr>
              <w:t>Sancionatorio</w:t>
            </w:r>
          </w:p>
        </w:tc>
        <w:tc>
          <w:tcPr>
            <w:tcW w:w="1134" w:type="dxa"/>
            <w:hideMark/>
          </w:tcPr>
          <w:p w:rsidR="00C92889" w:rsidRPr="005C5F90" w:rsidRDefault="00C92889" w:rsidP="00A51A39">
            <w:pPr>
              <w:jc w:val="right"/>
              <w:rPr>
                <w:rFonts w:ascii="Arial" w:eastAsia="Calibri" w:hAnsi="Arial" w:cs="Arial"/>
                <w:sz w:val="20"/>
                <w:lang w:val="es-ES"/>
              </w:rPr>
            </w:pPr>
            <w:r w:rsidRPr="005C5F90">
              <w:rPr>
                <w:rFonts w:ascii="Arial" w:eastAsia="Calibri" w:hAnsi="Arial" w:cs="Arial"/>
                <w:sz w:val="20"/>
                <w:lang w:val="es-ES"/>
              </w:rPr>
              <w:t>13</w:t>
            </w:r>
          </w:p>
        </w:tc>
        <w:tc>
          <w:tcPr>
            <w:tcW w:w="850" w:type="dxa"/>
            <w:hideMark/>
          </w:tcPr>
          <w:p w:rsidR="00C92889" w:rsidRPr="005C5F90" w:rsidRDefault="00C92889" w:rsidP="00A51A39">
            <w:pPr>
              <w:jc w:val="right"/>
              <w:rPr>
                <w:rFonts w:ascii="Arial" w:eastAsia="Calibri" w:hAnsi="Arial" w:cs="Arial"/>
                <w:sz w:val="20"/>
                <w:lang w:val="es-ES"/>
              </w:rPr>
            </w:pPr>
            <w:r w:rsidRPr="005C5F90">
              <w:rPr>
                <w:rFonts w:ascii="Arial" w:eastAsia="Calibri" w:hAnsi="Arial" w:cs="Arial"/>
                <w:sz w:val="20"/>
                <w:lang w:val="es-ES"/>
              </w:rPr>
              <w:t>28</w:t>
            </w:r>
          </w:p>
        </w:tc>
        <w:tc>
          <w:tcPr>
            <w:tcW w:w="851" w:type="dxa"/>
            <w:hideMark/>
          </w:tcPr>
          <w:p w:rsidR="00C92889" w:rsidRPr="005C5F90" w:rsidRDefault="00C92889" w:rsidP="00A51A39">
            <w:pPr>
              <w:jc w:val="right"/>
              <w:rPr>
                <w:rFonts w:ascii="Arial" w:eastAsia="Calibri" w:hAnsi="Arial" w:cs="Arial"/>
                <w:sz w:val="20"/>
                <w:lang w:val="es-ES"/>
              </w:rPr>
            </w:pPr>
            <w:r w:rsidRPr="005C5F90">
              <w:rPr>
                <w:rFonts w:ascii="Arial" w:eastAsia="Calibri" w:hAnsi="Arial" w:cs="Arial"/>
                <w:sz w:val="20"/>
                <w:lang w:val="es-ES"/>
              </w:rPr>
              <w:t>41</w:t>
            </w:r>
          </w:p>
        </w:tc>
      </w:tr>
      <w:tr w:rsidR="00C92889" w:rsidRPr="005C5F90" w:rsidTr="000230D5">
        <w:trPr>
          <w:cnfStyle w:val="000000100000" w:firstRow="0" w:lastRow="0" w:firstColumn="0" w:lastColumn="0" w:oddVBand="0" w:evenVBand="0" w:oddHBand="1" w:evenHBand="0" w:firstRowFirstColumn="0" w:firstRowLastColumn="0" w:lastRowFirstColumn="0" w:lastRowLastColumn="0"/>
          <w:trHeight w:val="247"/>
          <w:jc w:val="center"/>
        </w:trPr>
        <w:tc>
          <w:tcPr>
            <w:tcW w:w="4248" w:type="dxa"/>
            <w:hideMark/>
          </w:tcPr>
          <w:p w:rsidR="00C92889" w:rsidRPr="005C5F90" w:rsidRDefault="00C92889" w:rsidP="00D306FD">
            <w:pPr>
              <w:jc w:val="center"/>
              <w:rPr>
                <w:rFonts w:ascii="Arial" w:eastAsia="Calibri" w:hAnsi="Arial" w:cs="Arial"/>
                <w:sz w:val="20"/>
                <w:lang w:val="es-ES"/>
              </w:rPr>
            </w:pPr>
            <w:r w:rsidRPr="005C5F90">
              <w:rPr>
                <w:rFonts w:ascii="Arial" w:eastAsia="Calibri" w:hAnsi="Arial" w:cs="Arial"/>
                <w:sz w:val="20"/>
                <w:lang w:val="es-ES"/>
              </w:rPr>
              <w:t>Total</w:t>
            </w:r>
          </w:p>
        </w:tc>
        <w:tc>
          <w:tcPr>
            <w:tcW w:w="1134" w:type="dxa"/>
            <w:hideMark/>
          </w:tcPr>
          <w:p w:rsidR="00C92889" w:rsidRPr="005C5F90" w:rsidRDefault="00C92889" w:rsidP="00A51A39">
            <w:pPr>
              <w:jc w:val="right"/>
              <w:rPr>
                <w:rFonts w:ascii="Arial" w:eastAsia="Calibri" w:hAnsi="Arial" w:cs="Arial"/>
                <w:sz w:val="20"/>
                <w:lang w:val="es-ES"/>
              </w:rPr>
            </w:pPr>
            <w:r w:rsidRPr="005C5F90">
              <w:rPr>
                <w:rFonts w:ascii="Arial" w:eastAsia="Calibri" w:hAnsi="Arial" w:cs="Arial"/>
                <w:sz w:val="20"/>
                <w:lang w:val="es-ES"/>
              </w:rPr>
              <w:t>140</w:t>
            </w:r>
          </w:p>
        </w:tc>
        <w:tc>
          <w:tcPr>
            <w:tcW w:w="850" w:type="dxa"/>
            <w:hideMark/>
          </w:tcPr>
          <w:p w:rsidR="00C92889" w:rsidRPr="005C5F90" w:rsidRDefault="00C92889" w:rsidP="00A51A39">
            <w:pPr>
              <w:jc w:val="right"/>
              <w:rPr>
                <w:rFonts w:ascii="Arial" w:eastAsia="Calibri" w:hAnsi="Arial" w:cs="Arial"/>
                <w:sz w:val="20"/>
                <w:lang w:val="es-ES"/>
              </w:rPr>
            </w:pPr>
            <w:r w:rsidRPr="005C5F90">
              <w:rPr>
                <w:rFonts w:ascii="Arial" w:eastAsia="Calibri" w:hAnsi="Arial" w:cs="Arial"/>
                <w:sz w:val="20"/>
                <w:lang w:val="es-ES"/>
              </w:rPr>
              <w:t>249</w:t>
            </w:r>
          </w:p>
        </w:tc>
        <w:tc>
          <w:tcPr>
            <w:tcW w:w="851" w:type="dxa"/>
            <w:hideMark/>
          </w:tcPr>
          <w:p w:rsidR="00C92889" w:rsidRPr="005C5F90" w:rsidRDefault="00C92889" w:rsidP="00A51A39">
            <w:pPr>
              <w:jc w:val="right"/>
              <w:rPr>
                <w:rFonts w:ascii="Arial" w:eastAsia="Calibri" w:hAnsi="Arial" w:cs="Arial"/>
                <w:sz w:val="20"/>
                <w:lang w:val="es-ES"/>
              </w:rPr>
            </w:pPr>
            <w:r w:rsidRPr="005C5F90">
              <w:rPr>
                <w:rFonts w:ascii="Arial" w:eastAsia="Calibri" w:hAnsi="Arial" w:cs="Arial"/>
                <w:sz w:val="20"/>
                <w:lang w:val="es-ES"/>
              </w:rPr>
              <w:t>389</w:t>
            </w:r>
          </w:p>
        </w:tc>
      </w:tr>
    </w:tbl>
    <w:p w:rsidR="007355F6" w:rsidRDefault="007355F6" w:rsidP="00AE3262">
      <w:pPr>
        <w:pStyle w:val="NormalWeb"/>
        <w:shd w:val="clear" w:color="auto" w:fill="FFFFFF"/>
        <w:spacing w:after="300" w:line="276" w:lineRule="auto"/>
        <w:jc w:val="both"/>
        <w:textAlignment w:val="baseline"/>
        <w:rPr>
          <w:bCs/>
          <w:sz w:val="22"/>
          <w:szCs w:val="22"/>
          <w:bdr w:val="none" w:sz="0" w:space="0" w:color="auto" w:frame="1"/>
          <w:lang w:val="es-SV" w:eastAsia="es-SV"/>
        </w:rPr>
      </w:pPr>
    </w:p>
    <w:p w:rsidR="007355F6" w:rsidRDefault="007355F6" w:rsidP="00AE3262">
      <w:pPr>
        <w:pStyle w:val="NormalWeb"/>
        <w:shd w:val="clear" w:color="auto" w:fill="FFFFFF"/>
        <w:spacing w:after="300" w:line="276" w:lineRule="auto"/>
        <w:jc w:val="both"/>
        <w:textAlignment w:val="baseline"/>
        <w:rPr>
          <w:bCs/>
          <w:sz w:val="22"/>
          <w:szCs w:val="22"/>
          <w:bdr w:val="none" w:sz="0" w:space="0" w:color="auto" w:frame="1"/>
          <w:lang w:val="es-SV" w:eastAsia="es-SV"/>
        </w:rPr>
      </w:pPr>
      <w:r w:rsidRPr="007355F6">
        <w:rPr>
          <w:bCs/>
          <w:sz w:val="22"/>
          <w:szCs w:val="22"/>
          <w:bdr w:val="none" w:sz="0" w:space="0" w:color="auto" w:frame="1"/>
          <w:lang w:val="es-SV" w:eastAsia="es-SV"/>
        </w:rPr>
        <w:t xml:space="preserve">En este periodo, el IAIP ha conocido un total de 119 casos correspondientes a las once instituciones estatales que se configuran como las autoridades más recurridas ante el ente garante. Entre las causales más frecuentes por las que las personas solicitantes de información presentan su escrito de inconformidad con lo recibido, se encuentra la denegatoria de información por ser declarada inexistente, y la inconformidad con la información proporcionada por el ente, misma que se debe a que no se entrega estrictamente lo requerido. </w:t>
      </w:r>
    </w:p>
    <w:p w:rsidR="007355F6" w:rsidRDefault="007355F6" w:rsidP="00AE3262">
      <w:pPr>
        <w:pStyle w:val="NormalWeb"/>
        <w:shd w:val="clear" w:color="auto" w:fill="FFFFFF"/>
        <w:spacing w:after="300" w:line="276" w:lineRule="auto"/>
        <w:jc w:val="both"/>
        <w:textAlignment w:val="baseline"/>
        <w:rPr>
          <w:bCs/>
          <w:sz w:val="22"/>
          <w:szCs w:val="22"/>
          <w:bdr w:val="none" w:sz="0" w:space="0" w:color="auto" w:frame="1"/>
          <w:lang w:val="es-SV" w:eastAsia="es-SV"/>
        </w:rPr>
      </w:pPr>
      <w:r>
        <w:rPr>
          <w:bCs/>
          <w:sz w:val="22"/>
          <w:szCs w:val="22"/>
          <w:bdr w:val="none" w:sz="0" w:space="0" w:color="auto" w:frame="1"/>
          <w:lang w:val="es-SV" w:eastAsia="es-SV"/>
        </w:rPr>
        <w:t xml:space="preserve">Instituciones con </w:t>
      </w:r>
      <w:r w:rsidR="00B712F4">
        <w:rPr>
          <w:bCs/>
          <w:sz w:val="22"/>
          <w:szCs w:val="22"/>
          <w:bdr w:val="none" w:sz="0" w:space="0" w:color="auto" w:frame="1"/>
          <w:lang w:val="es-SV" w:eastAsia="es-SV"/>
        </w:rPr>
        <w:t xml:space="preserve">mayor número de casos </w:t>
      </w:r>
      <w:r w:rsidR="00A6253E">
        <w:rPr>
          <w:bCs/>
          <w:sz w:val="22"/>
          <w:szCs w:val="22"/>
          <w:bdr w:val="none" w:sz="0" w:space="0" w:color="auto" w:frame="1"/>
          <w:lang w:val="es-SV" w:eastAsia="es-SV"/>
        </w:rPr>
        <w:t xml:space="preserve">recurridos </w:t>
      </w:r>
      <w:r w:rsidR="00B712F4">
        <w:rPr>
          <w:bCs/>
          <w:sz w:val="22"/>
          <w:szCs w:val="22"/>
          <w:bdr w:val="none" w:sz="0" w:space="0" w:color="auto" w:frame="1"/>
          <w:lang w:val="es-SV" w:eastAsia="es-SV"/>
        </w:rPr>
        <w:t>ante el IAIP</w:t>
      </w:r>
      <w:r w:rsidR="00A6253E">
        <w:rPr>
          <w:bCs/>
          <w:sz w:val="22"/>
          <w:szCs w:val="22"/>
          <w:bdr w:val="none" w:sz="0" w:space="0" w:color="auto" w:frame="1"/>
          <w:lang w:val="es-SV" w:eastAsia="es-SV"/>
        </w:rPr>
        <w:t xml:space="preserve"> durante el período:</w:t>
      </w:r>
    </w:p>
    <w:tbl>
      <w:tblPr>
        <w:tblW w:w="4900" w:type="dxa"/>
        <w:tblInd w:w="1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92"/>
        <w:gridCol w:w="808"/>
      </w:tblGrid>
      <w:tr w:rsidR="00B712F4" w:rsidRPr="00D744F9" w:rsidTr="00A6253E">
        <w:trPr>
          <w:trHeight w:val="300"/>
        </w:trPr>
        <w:tc>
          <w:tcPr>
            <w:tcW w:w="4092" w:type="dxa"/>
            <w:shd w:val="clear" w:color="auto" w:fill="00B0F0"/>
            <w:noWrap/>
            <w:vAlign w:val="center"/>
            <w:hideMark/>
          </w:tcPr>
          <w:p w:rsidR="00B712F4" w:rsidRPr="00D744F9" w:rsidRDefault="00B712F4" w:rsidP="008830AD">
            <w:pPr>
              <w:spacing w:after="0" w:line="240" w:lineRule="auto"/>
              <w:jc w:val="center"/>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Autoridad</w:t>
            </w:r>
          </w:p>
        </w:tc>
        <w:tc>
          <w:tcPr>
            <w:tcW w:w="808" w:type="dxa"/>
            <w:shd w:val="clear" w:color="auto" w:fill="00B0F0"/>
            <w:noWrap/>
            <w:vAlign w:val="center"/>
            <w:hideMark/>
          </w:tcPr>
          <w:p w:rsidR="00B712F4" w:rsidRPr="00D744F9" w:rsidRDefault="00B712F4" w:rsidP="008830AD">
            <w:pPr>
              <w:spacing w:after="0" w:line="240" w:lineRule="auto"/>
              <w:jc w:val="center"/>
              <w:rPr>
                <w:rFonts w:ascii="Calibri" w:eastAsia="Times New Roman" w:hAnsi="Calibri" w:cs="Times New Roman"/>
                <w:color w:val="000000"/>
                <w:lang w:eastAsia="es-SV"/>
              </w:rPr>
            </w:pPr>
            <w:r>
              <w:rPr>
                <w:rFonts w:ascii="Calibri" w:eastAsia="Times New Roman" w:hAnsi="Calibri" w:cs="Times New Roman"/>
                <w:color w:val="000000"/>
                <w:lang w:eastAsia="es-SV"/>
              </w:rPr>
              <w:t>#casos</w:t>
            </w:r>
          </w:p>
        </w:tc>
      </w:tr>
      <w:tr w:rsidR="00B712F4" w:rsidRPr="00D744F9" w:rsidTr="00B712F4">
        <w:trPr>
          <w:trHeight w:val="300"/>
        </w:trPr>
        <w:tc>
          <w:tcPr>
            <w:tcW w:w="4092" w:type="dxa"/>
            <w:shd w:val="clear" w:color="auto" w:fill="auto"/>
            <w:noWrap/>
            <w:vAlign w:val="center"/>
            <w:hideMark/>
          </w:tcPr>
          <w:p w:rsidR="00B712F4" w:rsidRPr="00D744F9" w:rsidRDefault="00B712F4" w:rsidP="008830AD">
            <w:pPr>
              <w:spacing w:after="0" w:line="240" w:lineRule="auto"/>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Banco Central de Reserva</w:t>
            </w:r>
          </w:p>
        </w:tc>
        <w:tc>
          <w:tcPr>
            <w:tcW w:w="808" w:type="dxa"/>
            <w:shd w:val="clear" w:color="auto" w:fill="auto"/>
            <w:noWrap/>
            <w:vAlign w:val="center"/>
            <w:hideMark/>
          </w:tcPr>
          <w:p w:rsidR="00B712F4" w:rsidRPr="00D744F9" w:rsidRDefault="00B712F4" w:rsidP="008830AD">
            <w:pPr>
              <w:spacing w:after="0" w:line="240" w:lineRule="auto"/>
              <w:jc w:val="center"/>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17</w:t>
            </w:r>
          </w:p>
        </w:tc>
      </w:tr>
      <w:tr w:rsidR="00B712F4" w:rsidRPr="00D744F9" w:rsidTr="00B712F4">
        <w:trPr>
          <w:trHeight w:val="300"/>
        </w:trPr>
        <w:tc>
          <w:tcPr>
            <w:tcW w:w="4092" w:type="dxa"/>
            <w:shd w:val="clear" w:color="auto" w:fill="auto"/>
            <w:noWrap/>
            <w:vAlign w:val="center"/>
            <w:hideMark/>
          </w:tcPr>
          <w:p w:rsidR="00B712F4" w:rsidRPr="00D744F9" w:rsidRDefault="00B712F4" w:rsidP="008830AD">
            <w:pPr>
              <w:spacing w:after="0" w:line="240" w:lineRule="auto"/>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Asamblea Legislativa</w:t>
            </w:r>
          </w:p>
        </w:tc>
        <w:tc>
          <w:tcPr>
            <w:tcW w:w="808" w:type="dxa"/>
            <w:shd w:val="clear" w:color="auto" w:fill="auto"/>
            <w:noWrap/>
            <w:vAlign w:val="center"/>
            <w:hideMark/>
          </w:tcPr>
          <w:p w:rsidR="00B712F4" w:rsidRPr="00D744F9" w:rsidRDefault="00B712F4" w:rsidP="008830AD">
            <w:pPr>
              <w:spacing w:after="0" w:line="240" w:lineRule="auto"/>
              <w:jc w:val="center"/>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14</w:t>
            </w:r>
          </w:p>
        </w:tc>
      </w:tr>
      <w:tr w:rsidR="00B712F4" w:rsidRPr="00D744F9" w:rsidTr="00B712F4">
        <w:trPr>
          <w:trHeight w:val="300"/>
        </w:trPr>
        <w:tc>
          <w:tcPr>
            <w:tcW w:w="4092" w:type="dxa"/>
            <w:shd w:val="clear" w:color="auto" w:fill="auto"/>
            <w:noWrap/>
            <w:vAlign w:val="center"/>
            <w:hideMark/>
          </w:tcPr>
          <w:p w:rsidR="00B712F4" w:rsidRPr="00D744F9" w:rsidRDefault="00B712F4" w:rsidP="008830AD">
            <w:pPr>
              <w:spacing w:after="0" w:line="240" w:lineRule="auto"/>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Dirección General de Centros Penales</w:t>
            </w:r>
          </w:p>
        </w:tc>
        <w:tc>
          <w:tcPr>
            <w:tcW w:w="808" w:type="dxa"/>
            <w:shd w:val="clear" w:color="auto" w:fill="auto"/>
            <w:noWrap/>
            <w:vAlign w:val="center"/>
            <w:hideMark/>
          </w:tcPr>
          <w:p w:rsidR="00B712F4" w:rsidRPr="00D744F9" w:rsidRDefault="00B712F4" w:rsidP="008830AD">
            <w:pPr>
              <w:spacing w:after="0" w:line="240" w:lineRule="auto"/>
              <w:jc w:val="center"/>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14</w:t>
            </w:r>
          </w:p>
        </w:tc>
      </w:tr>
      <w:tr w:rsidR="00B712F4" w:rsidRPr="00D744F9" w:rsidTr="00B712F4">
        <w:trPr>
          <w:trHeight w:val="300"/>
        </w:trPr>
        <w:tc>
          <w:tcPr>
            <w:tcW w:w="4092" w:type="dxa"/>
            <w:shd w:val="clear" w:color="auto" w:fill="auto"/>
            <w:noWrap/>
            <w:vAlign w:val="center"/>
            <w:hideMark/>
          </w:tcPr>
          <w:p w:rsidR="00B712F4" w:rsidRPr="00D744F9" w:rsidRDefault="00B712F4" w:rsidP="008830AD">
            <w:pPr>
              <w:spacing w:after="0" w:line="240" w:lineRule="auto"/>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Policía Nacional Civil</w:t>
            </w:r>
          </w:p>
        </w:tc>
        <w:tc>
          <w:tcPr>
            <w:tcW w:w="808" w:type="dxa"/>
            <w:shd w:val="clear" w:color="auto" w:fill="auto"/>
            <w:noWrap/>
            <w:vAlign w:val="center"/>
            <w:hideMark/>
          </w:tcPr>
          <w:p w:rsidR="00B712F4" w:rsidRPr="00D744F9" w:rsidRDefault="00B712F4" w:rsidP="008830AD">
            <w:pPr>
              <w:spacing w:after="0" w:line="240" w:lineRule="auto"/>
              <w:jc w:val="center"/>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13</w:t>
            </w:r>
          </w:p>
        </w:tc>
      </w:tr>
      <w:tr w:rsidR="00B712F4" w:rsidRPr="00D744F9" w:rsidTr="00B712F4">
        <w:trPr>
          <w:trHeight w:val="300"/>
        </w:trPr>
        <w:tc>
          <w:tcPr>
            <w:tcW w:w="4092" w:type="dxa"/>
            <w:shd w:val="clear" w:color="auto" w:fill="auto"/>
            <w:noWrap/>
            <w:vAlign w:val="center"/>
            <w:hideMark/>
          </w:tcPr>
          <w:p w:rsidR="00B712F4" w:rsidRPr="00D744F9" w:rsidRDefault="00B712F4" w:rsidP="008830AD">
            <w:pPr>
              <w:spacing w:after="0" w:line="240" w:lineRule="auto"/>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Corte Suprema de Justicia</w:t>
            </w:r>
          </w:p>
        </w:tc>
        <w:tc>
          <w:tcPr>
            <w:tcW w:w="808" w:type="dxa"/>
            <w:shd w:val="clear" w:color="auto" w:fill="auto"/>
            <w:noWrap/>
            <w:vAlign w:val="center"/>
            <w:hideMark/>
          </w:tcPr>
          <w:p w:rsidR="00B712F4" w:rsidRPr="00D744F9" w:rsidRDefault="00B712F4" w:rsidP="008830AD">
            <w:pPr>
              <w:spacing w:after="0" w:line="240" w:lineRule="auto"/>
              <w:jc w:val="center"/>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13</w:t>
            </w:r>
          </w:p>
        </w:tc>
      </w:tr>
      <w:tr w:rsidR="00B712F4" w:rsidRPr="00D744F9" w:rsidTr="00B712F4">
        <w:trPr>
          <w:trHeight w:val="300"/>
        </w:trPr>
        <w:tc>
          <w:tcPr>
            <w:tcW w:w="4092" w:type="dxa"/>
            <w:shd w:val="clear" w:color="auto" w:fill="auto"/>
            <w:noWrap/>
            <w:vAlign w:val="center"/>
            <w:hideMark/>
          </w:tcPr>
          <w:p w:rsidR="00B712F4" w:rsidRPr="00D744F9" w:rsidRDefault="00B712F4" w:rsidP="008830AD">
            <w:pPr>
              <w:spacing w:after="0" w:line="240" w:lineRule="auto"/>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Ministerio de Salud</w:t>
            </w:r>
          </w:p>
        </w:tc>
        <w:tc>
          <w:tcPr>
            <w:tcW w:w="808" w:type="dxa"/>
            <w:shd w:val="clear" w:color="auto" w:fill="auto"/>
            <w:noWrap/>
            <w:vAlign w:val="center"/>
            <w:hideMark/>
          </w:tcPr>
          <w:p w:rsidR="00B712F4" w:rsidRPr="00D744F9" w:rsidRDefault="00B712F4" w:rsidP="008830AD">
            <w:pPr>
              <w:spacing w:after="0" w:line="240" w:lineRule="auto"/>
              <w:jc w:val="center"/>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11</w:t>
            </w:r>
          </w:p>
        </w:tc>
      </w:tr>
      <w:tr w:rsidR="00B712F4" w:rsidRPr="00D744F9" w:rsidTr="00B712F4">
        <w:trPr>
          <w:trHeight w:val="300"/>
        </w:trPr>
        <w:tc>
          <w:tcPr>
            <w:tcW w:w="4092" w:type="dxa"/>
            <w:shd w:val="clear" w:color="auto" w:fill="auto"/>
            <w:noWrap/>
            <w:vAlign w:val="center"/>
            <w:hideMark/>
          </w:tcPr>
          <w:p w:rsidR="00B712F4" w:rsidRPr="00D744F9" w:rsidRDefault="00B712F4" w:rsidP="008830AD">
            <w:pPr>
              <w:spacing w:after="0" w:line="240" w:lineRule="auto"/>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Universidad de El Salvador</w:t>
            </w:r>
          </w:p>
        </w:tc>
        <w:tc>
          <w:tcPr>
            <w:tcW w:w="808" w:type="dxa"/>
            <w:shd w:val="clear" w:color="auto" w:fill="auto"/>
            <w:noWrap/>
            <w:vAlign w:val="center"/>
            <w:hideMark/>
          </w:tcPr>
          <w:p w:rsidR="00B712F4" w:rsidRPr="00D744F9" w:rsidRDefault="00B712F4" w:rsidP="008830AD">
            <w:pPr>
              <w:spacing w:after="0" w:line="240" w:lineRule="auto"/>
              <w:jc w:val="center"/>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8</w:t>
            </w:r>
          </w:p>
        </w:tc>
      </w:tr>
      <w:tr w:rsidR="00B712F4" w:rsidRPr="00D744F9" w:rsidTr="00B712F4">
        <w:trPr>
          <w:trHeight w:val="300"/>
        </w:trPr>
        <w:tc>
          <w:tcPr>
            <w:tcW w:w="4092" w:type="dxa"/>
            <w:shd w:val="clear" w:color="auto" w:fill="auto"/>
            <w:noWrap/>
            <w:vAlign w:val="center"/>
            <w:hideMark/>
          </w:tcPr>
          <w:p w:rsidR="00B712F4" w:rsidRPr="00D744F9" w:rsidRDefault="00B712F4" w:rsidP="008830AD">
            <w:pPr>
              <w:spacing w:after="0" w:line="240" w:lineRule="auto"/>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Ministerio de Educación</w:t>
            </w:r>
          </w:p>
        </w:tc>
        <w:tc>
          <w:tcPr>
            <w:tcW w:w="808" w:type="dxa"/>
            <w:shd w:val="clear" w:color="auto" w:fill="auto"/>
            <w:noWrap/>
            <w:vAlign w:val="center"/>
            <w:hideMark/>
          </w:tcPr>
          <w:p w:rsidR="00B712F4" w:rsidRPr="00D744F9" w:rsidRDefault="00B712F4" w:rsidP="008830AD">
            <w:pPr>
              <w:spacing w:after="0" w:line="240" w:lineRule="auto"/>
              <w:jc w:val="center"/>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8</w:t>
            </w:r>
          </w:p>
        </w:tc>
      </w:tr>
      <w:tr w:rsidR="00B712F4" w:rsidRPr="00D744F9" w:rsidTr="00B712F4">
        <w:trPr>
          <w:trHeight w:val="300"/>
        </w:trPr>
        <w:tc>
          <w:tcPr>
            <w:tcW w:w="4092" w:type="dxa"/>
            <w:shd w:val="clear" w:color="auto" w:fill="auto"/>
            <w:noWrap/>
            <w:vAlign w:val="center"/>
            <w:hideMark/>
          </w:tcPr>
          <w:p w:rsidR="00B712F4" w:rsidRPr="00D744F9" w:rsidRDefault="00B712F4" w:rsidP="008830AD">
            <w:pPr>
              <w:spacing w:after="0" w:line="240" w:lineRule="auto"/>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Ministerio de Hacienda</w:t>
            </w:r>
          </w:p>
        </w:tc>
        <w:tc>
          <w:tcPr>
            <w:tcW w:w="808" w:type="dxa"/>
            <w:shd w:val="clear" w:color="auto" w:fill="auto"/>
            <w:noWrap/>
            <w:vAlign w:val="center"/>
            <w:hideMark/>
          </w:tcPr>
          <w:p w:rsidR="00B712F4" w:rsidRPr="00D744F9" w:rsidRDefault="00B712F4" w:rsidP="008830AD">
            <w:pPr>
              <w:spacing w:after="0" w:line="240" w:lineRule="auto"/>
              <w:jc w:val="center"/>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7</w:t>
            </w:r>
          </w:p>
        </w:tc>
      </w:tr>
      <w:tr w:rsidR="00B712F4" w:rsidRPr="00D744F9" w:rsidTr="00B712F4">
        <w:trPr>
          <w:trHeight w:val="300"/>
        </w:trPr>
        <w:tc>
          <w:tcPr>
            <w:tcW w:w="4092" w:type="dxa"/>
            <w:shd w:val="clear" w:color="auto" w:fill="auto"/>
            <w:noWrap/>
            <w:vAlign w:val="center"/>
            <w:hideMark/>
          </w:tcPr>
          <w:p w:rsidR="00B712F4" w:rsidRPr="00D744F9" w:rsidRDefault="00B712F4" w:rsidP="008830AD">
            <w:pPr>
              <w:spacing w:after="0" w:line="240" w:lineRule="auto"/>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Municipalidad de Ahuachapán</w:t>
            </w:r>
          </w:p>
        </w:tc>
        <w:tc>
          <w:tcPr>
            <w:tcW w:w="808" w:type="dxa"/>
            <w:shd w:val="clear" w:color="auto" w:fill="auto"/>
            <w:noWrap/>
            <w:vAlign w:val="center"/>
            <w:hideMark/>
          </w:tcPr>
          <w:p w:rsidR="00B712F4" w:rsidRPr="00D744F9" w:rsidRDefault="00B712F4" w:rsidP="008830AD">
            <w:pPr>
              <w:spacing w:after="0" w:line="240" w:lineRule="auto"/>
              <w:jc w:val="center"/>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7</w:t>
            </w:r>
          </w:p>
        </w:tc>
      </w:tr>
      <w:tr w:rsidR="00B712F4" w:rsidRPr="00D744F9" w:rsidTr="00B712F4">
        <w:trPr>
          <w:trHeight w:val="300"/>
        </w:trPr>
        <w:tc>
          <w:tcPr>
            <w:tcW w:w="4092" w:type="dxa"/>
            <w:shd w:val="clear" w:color="auto" w:fill="auto"/>
            <w:noWrap/>
            <w:vAlign w:val="center"/>
            <w:hideMark/>
          </w:tcPr>
          <w:p w:rsidR="00B712F4" w:rsidRPr="00D744F9" w:rsidRDefault="00B712F4" w:rsidP="008830AD">
            <w:pPr>
              <w:spacing w:after="0" w:line="240" w:lineRule="auto"/>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Tribunal Supremo Electoral</w:t>
            </w:r>
          </w:p>
        </w:tc>
        <w:tc>
          <w:tcPr>
            <w:tcW w:w="808" w:type="dxa"/>
            <w:shd w:val="clear" w:color="auto" w:fill="auto"/>
            <w:noWrap/>
            <w:vAlign w:val="center"/>
            <w:hideMark/>
          </w:tcPr>
          <w:p w:rsidR="00B712F4" w:rsidRPr="00D744F9" w:rsidRDefault="00B712F4" w:rsidP="008830AD">
            <w:pPr>
              <w:spacing w:after="0" w:line="240" w:lineRule="auto"/>
              <w:jc w:val="center"/>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7</w:t>
            </w:r>
          </w:p>
        </w:tc>
      </w:tr>
      <w:tr w:rsidR="00B712F4" w:rsidRPr="00D744F9" w:rsidTr="00A6253E">
        <w:trPr>
          <w:trHeight w:val="300"/>
        </w:trPr>
        <w:tc>
          <w:tcPr>
            <w:tcW w:w="4092" w:type="dxa"/>
            <w:shd w:val="clear" w:color="auto" w:fill="BDD6EE" w:themeFill="accent1" w:themeFillTint="66"/>
            <w:noWrap/>
            <w:vAlign w:val="center"/>
            <w:hideMark/>
          </w:tcPr>
          <w:p w:rsidR="00B712F4" w:rsidRPr="00D744F9" w:rsidRDefault="00B712F4" w:rsidP="008830AD">
            <w:pPr>
              <w:spacing w:after="0" w:line="240" w:lineRule="auto"/>
              <w:jc w:val="center"/>
              <w:rPr>
                <w:rFonts w:ascii="Calibri" w:eastAsia="Times New Roman" w:hAnsi="Calibri" w:cs="Times New Roman"/>
                <w:color w:val="000000"/>
                <w:lang w:eastAsia="es-SV"/>
              </w:rPr>
            </w:pPr>
            <w:r w:rsidRPr="00D744F9">
              <w:rPr>
                <w:rFonts w:ascii="Calibri" w:eastAsia="Times New Roman" w:hAnsi="Calibri" w:cs="Times New Roman"/>
                <w:color w:val="000000"/>
                <w:lang w:eastAsia="es-SV"/>
              </w:rPr>
              <w:t>Total</w:t>
            </w:r>
          </w:p>
        </w:tc>
        <w:tc>
          <w:tcPr>
            <w:tcW w:w="808" w:type="dxa"/>
            <w:shd w:val="clear" w:color="auto" w:fill="BDD6EE" w:themeFill="accent1" w:themeFillTint="66"/>
            <w:noWrap/>
            <w:vAlign w:val="bottom"/>
            <w:hideMark/>
          </w:tcPr>
          <w:p w:rsidR="00B712F4" w:rsidRPr="00B712F4" w:rsidRDefault="00B712F4" w:rsidP="008830AD">
            <w:pPr>
              <w:spacing w:after="0" w:line="240" w:lineRule="auto"/>
              <w:jc w:val="center"/>
              <w:rPr>
                <w:rFonts w:ascii="Calibri" w:eastAsia="Times New Roman" w:hAnsi="Calibri" w:cs="Times New Roman"/>
                <w:b/>
                <w:color w:val="000000"/>
                <w:lang w:eastAsia="es-SV"/>
              </w:rPr>
            </w:pPr>
            <w:r w:rsidRPr="00B712F4">
              <w:rPr>
                <w:rFonts w:ascii="Calibri" w:eastAsia="Times New Roman" w:hAnsi="Calibri" w:cs="Times New Roman"/>
                <w:b/>
                <w:color w:val="000000"/>
                <w:lang w:eastAsia="es-SV"/>
              </w:rPr>
              <w:t>119</w:t>
            </w:r>
          </w:p>
        </w:tc>
      </w:tr>
    </w:tbl>
    <w:p w:rsidR="00B712F4" w:rsidRDefault="00B712F4" w:rsidP="00AE3262">
      <w:pPr>
        <w:pStyle w:val="NormalWeb"/>
        <w:shd w:val="clear" w:color="auto" w:fill="FFFFFF"/>
        <w:spacing w:after="300" w:line="276" w:lineRule="auto"/>
        <w:jc w:val="both"/>
        <w:textAlignment w:val="baseline"/>
        <w:rPr>
          <w:bCs/>
          <w:sz w:val="22"/>
          <w:szCs w:val="22"/>
          <w:bdr w:val="none" w:sz="0" w:space="0" w:color="auto" w:frame="1"/>
          <w:lang w:val="es-SV" w:eastAsia="es-SV"/>
        </w:rPr>
      </w:pPr>
    </w:p>
    <w:p w:rsidR="007355F6" w:rsidRPr="00A6253E" w:rsidRDefault="007355F6" w:rsidP="00AE3262">
      <w:pPr>
        <w:pStyle w:val="NormalWeb"/>
        <w:shd w:val="clear" w:color="auto" w:fill="FFFFFF"/>
        <w:spacing w:after="300" w:line="276" w:lineRule="auto"/>
        <w:jc w:val="both"/>
        <w:textAlignment w:val="baseline"/>
        <w:rPr>
          <w:b/>
          <w:bCs/>
          <w:sz w:val="22"/>
          <w:szCs w:val="22"/>
          <w:bdr w:val="none" w:sz="0" w:space="0" w:color="auto" w:frame="1"/>
          <w:lang w:val="es-SV" w:eastAsia="es-SV"/>
        </w:rPr>
      </w:pPr>
      <w:r w:rsidRPr="00A6253E">
        <w:rPr>
          <w:b/>
          <w:bCs/>
          <w:sz w:val="22"/>
          <w:szCs w:val="22"/>
          <w:bdr w:val="none" w:sz="0" w:space="0" w:color="auto" w:frame="1"/>
          <w:lang w:val="es-SV" w:eastAsia="es-SV"/>
        </w:rPr>
        <w:t>Protección de datos</w:t>
      </w:r>
    </w:p>
    <w:p w:rsidR="001F7B9E" w:rsidRDefault="003579D5" w:rsidP="00AE3262">
      <w:pPr>
        <w:pStyle w:val="NormalWeb"/>
        <w:shd w:val="clear" w:color="auto" w:fill="FFFFFF"/>
        <w:spacing w:after="300" w:line="276" w:lineRule="auto"/>
        <w:jc w:val="both"/>
        <w:textAlignment w:val="baseline"/>
        <w:rPr>
          <w:bCs/>
          <w:sz w:val="22"/>
          <w:szCs w:val="22"/>
          <w:bdr w:val="none" w:sz="0" w:space="0" w:color="auto" w:frame="1"/>
          <w:lang w:val="es-SV" w:eastAsia="es-SV"/>
        </w:rPr>
      </w:pPr>
      <w:r w:rsidRPr="003579D5">
        <w:rPr>
          <w:bCs/>
          <w:sz w:val="22"/>
          <w:szCs w:val="22"/>
          <w:bdr w:val="none" w:sz="0" w:space="0" w:color="auto" w:frame="1"/>
          <w:lang w:val="es-SV" w:eastAsia="es-SV"/>
        </w:rPr>
        <w:t xml:space="preserve">En el tema de datos personales respecto al proyecto de “Normalización de la gestión documental y la protección de datos personales de historial clínico en el Sistema Nacional Integrado de Salud”, el 9 de julio del presente año, se aprobaron por este Instituto con la ayuda de </w:t>
      </w:r>
      <w:proofErr w:type="spellStart"/>
      <w:r w:rsidRPr="003579D5">
        <w:rPr>
          <w:bCs/>
          <w:sz w:val="22"/>
          <w:szCs w:val="22"/>
          <w:bdr w:val="none" w:sz="0" w:space="0" w:color="auto" w:frame="1"/>
          <w:lang w:val="es-SV" w:eastAsia="es-SV"/>
        </w:rPr>
        <w:t>Eurosocial</w:t>
      </w:r>
      <w:proofErr w:type="spellEnd"/>
      <w:r w:rsidRPr="003579D5">
        <w:rPr>
          <w:bCs/>
          <w:sz w:val="22"/>
          <w:szCs w:val="22"/>
          <w:bdr w:val="none" w:sz="0" w:space="0" w:color="auto" w:frame="1"/>
          <w:lang w:val="es-SV" w:eastAsia="es-SV"/>
        </w:rPr>
        <w:t xml:space="preserve"> Plus, los lineamientos en Gestión Documental y Protección de Datos Personales en expedientes clínicos en el Sistema Nacional Integrado de Salud, estos contienen disposiciones relacionadas a la protección de datos personales clínicos, al ejercicio de los derechos de acceso, rectificación, cancelación y oposición (ARCO) por parte de los pacientes, y aspectos relacionados a la información pública que se genera del tratamiento de los datos sanitarios que se recogen de las historias clínicas.</w:t>
      </w:r>
    </w:p>
    <w:p w:rsidR="00CC02E6" w:rsidRPr="00CC02E6" w:rsidRDefault="00CC02E6" w:rsidP="00CC02E6">
      <w:pPr>
        <w:pStyle w:val="NormalWeb"/>
        <w:shd w:val="clear" w:color="auto" w:fill="FFFFFF"/>
        <w:spacing w:after="300" w:line="276" w:lineRule="auto"/>
        <w:jc w:val="both"/>
        <w:textAlignment w:val="baseline"/>
        <w:rPr>
          <w:bCs/>
          <w:sz w:val="22"/>
          <w:szCs w:val="22"/>
          <w:bdr w:val="none" w:sz="0" w:space="0" w:color="auto" w:frame="1"/>
          <w:lang w:val="es-SV" w:eastAsia="es-SV"/>
        </w:rPr>
      </w:pPr>
      <w:r>
        <w:rPr>
          <w:bCs/>
          <w:sz w:val="22"/>
          <w:szCs w:val="22"/>
          <w:bdr w:val="none" w:sz="0" w:space="0" w:color="auto" w:frame="1"/>
          <w:lang w:val="es-SV" w:eastAsia="es-SV"/>
        </w:rPr>
        <w:t>Asimismo, en cuanto a protección de datos personales, e</w:t>
      </w:r>
      <w:r w:rsidRPr="00CC02E6">
        <w:rPr>
          <w:bCs/>
          <w:sz w:val="22"/>
          <w:szCs w:val="22"/>
          <w:bdr w:val="none" w:sz="0" w:space="0" w:color="auto" w:frame="1"/>
          <w:lang w:val="es-SV" w:eastAsia="es-SV"/>
        </w:rPr>
        <w:t xml:space="preserve">l Instituto ha conocido dos tipos de procedimientos: apelaciones, los cuales pueden ser por inconformidad con lo resuelto o por falta de </w:t>
      </w:r>
      <w:r w:rsidRPr="00CC02E6">
        <w:rPr>
          <w:bCs/>
          <w:sz w:val="22"/>
          <w:szCs w:val="22"/>
          <w:bdr w:val="none" w:sz="0" w:space="0" w:color="auto" w:frame="1"/>
          <w:lang w:val="es-SV" w:eastAsia="es-SV"/>
        </w:rPr>
        <w:lastRenderedPageBreak/>
        <w:t>respuesta a la solicitud -a diferencia de los casos de Acceso a la Información Pública que además se pueden conocer recursos de Falta de Respuesta de manera independiente-; y sancionatorios. Para el periodo presentado, se evidencia la tramitación de 237 casos, de los cuales el 94% corresponde a apelaciones, mientras que el 6% a sancionatorios.</w:t>
      </w:r>
    </w:p>
    <w:p w:rsidR="003579D5" w:rsidRDefault="00CC02E6" w:rsidP="003579D5">
      <w:pPr>
        <w:pStyle w:val="NormalWeb"/>
        <w:shd w:val="clear" w:color="auto" w:fill="FFFFFF"/>
        <w:spacing w:after="300" w:line="276" w:lineRule="auto"/>
        <w:jc w:val="both"/>
        <w:textAlignment w:val="baseline"/>
        <w:rPr>
          <w:bCs/>
          <w:sz w:val="22"/>
          <w:szCs w:val="22"/>
          <w:bdr w:val="none" w:sz="0" w:space="0" w:color="auto" w:frame="1"/>
          <w:lang w:val="es-SV" w:eastAsia="es-SV"/>
        </w:rPr>
      </w:pPr>
      <w:r w:rsidRPr="00CC02E6">
        <w:rPr>
          <w:bCs/>
          <w:sz w:val="22"/>
          <w:szCs w:val="22"/>
          <w:bdr w:val="none" w:sz="0" w:space="0" w:color="auto" w:frame="1"/>
          <w:lang w:val="es-SV" w:eastAsia="es-SV"/>
        </w:rPr>
        <w:t>En lo correspondiente al ejercicio de los derechos ARCO</w:t>
      </w:r>
      <w:r>
        <w:rPr>
          <w:bCs/>
          <w:sz w:val="22"/>
          <w:szCs w:val="22"/>
          <w:bdr w:val="none" w:sz="0" w:space="0" w:color="auto" w:frame="1"/>
          <w:lang w:val="es-SV" w:eastAsia="es-SV"/>
        </w:rPr>
        <w:t xml:space="preserve"> (Acceso, Rectificación, Cancelación y Oposición)</w:t>
      </w:r>
      <w:r w:rsidRPr="00CC02E6">
        <w:rPr>
          <w:bCs/>
          <w:sz w:val="22"/>
          <w:szCs w:val="22"/>
          <w:bdr w:val="none" w:sz="0" w:space="0" w:color="auto" w:frame="1"/>
          <w:lang w:val="es-SV" w:eastAsia="es-SV"/>
        </w:rPr>
        <w:t xml:space="preserve"> la mayor demanda en cuanto a la tramitación de los recursos interpuestos se concentra en peticiones de Acceso y Cancelación de datos personales en poder de las instituciones estatales.</w:t>
      </w:r>
    </w:p>
    <w:p w:rsidR="00C92889" w:rsidRPr="001F7B9E" w:rsidRDefault="003579D5" w:rsidP="00AE3262">
      <w:pPr>
        <w:pStyle w:val="NormalWeb"/>
        <w:shd w:val="clear" w:color="auto" w:fill="FFFFFF"/>
        <w:spacing w:after="300" w:line="276" w:lineRule="auto"/>
        <w:jc w:val="both"/>
        <w:textAlignment w:val="baseline"/>
        <w:rPr>
          <w:bCs/>
          <w:sz w:val="22"/>
          <w:szCs w:val="22"/>
          <w:bdr w:val="none" w:sz="0" w:space="0" w:color="auto" w:frame="1"/>
          <w:lang w:val="es-SV" w:eastAsia="es-SV"/>
        </w:rPr>
      </w:pPr>
      <w:r>
        <w:rPr>
          <w:bCs/>
          <w:sz w:val="22"/>
          <w:szCs w:val="22"/>
          <w:bdr w:val="none" w:sz="0" w:space="0" w:color="auto" w:frame="1"/>
          <w:lang w:val="es-SV" w:eastAsia="es-SV"/>
        </w:rPr>
        <w:t>Estadística de casos tramitados sobre protección de datos personales en el IAIP.</w:t>
      </w:r>
    </w:p>
    <w:tbl>
      <w:tblPr>
        <w:tblStyle w:val="Tabladecuadrcula5oscura-nfasis1"/>
        <w:tblW w:w="8338" w:type="dxa"/>
        <w:jc w:val="center"/>
        <w:tblLayout w:type="fixed"/>
        <w:tblLook w:val="0400" w:firstRow="0" w:lastRow="0" w:firstColumn="0" w:lastColumn="0" w:noHBand="0" w:noVBand="1"/>
      </w:tblPr>
      <w:tblGrid>
        <w:gridCol w:w="5642"/>
        <w:gridCol w:w="895"/>
        <w:gridCol w:w="895"/>
        <w:gridCol w:w="906"/>
      </w:tblGrid>
      <w:tr w:rsidR="000230D5" w:rsidRPr="008E5097" w:rsidTr="00A51A39">
        <w:trPr>
          <w:cnfStyle w:val="000000100000" w:firstRow="0" w:lastRow="0" w:firstColumn="0" w:lastColumn="0" w:oddVBand="0" w:evenVBand="0" w:oddHBand="1" w:evenHBand="0" w:firstRowFirstColumn="0" w:firstRowLastColumn="0" w:lastRowFirstColumn="0" w:lastRowLastColumn="0"/>
          <w:trHeight w:val="341"/>
          <w:jc w:val="center"/>
        </w:trPr>
        <w:tc>
          <w:tcPr>
            <w:tcW w:w="5642" w:type="dxa"/>
            <w:shd w:val="clear" w:color="auto" w:fill="5B9BD5" w:themeFill="accent1"/>
            <w:hideMark/>
          </w:tcPr>
          <w:p w:rsidR="000230D5" w:rsidRPr="000230D5" w:rsidRDefault="000230D5" w:rsidP="00D306FD">
            <w:pPr>
              <w:jc w:val="both"/>
              <w:rPr>
                <w:rFonts w:ascii="Arial" w:eastAsia="Calibri" w:hAnsi="Arial" w:cs="Arial"/>
                <w:b/>
                <w:sz w:val="20"/>
                <w:szCs w:val="20"/>
                <w:lang w:val="es-ES"/>
              </w:rPr>
            </w:pPr>
            <w:r w:rsidRPr="000230D5">
              <w:rPr>
                <w:rFonts w:ascii="Arial" w:eastAsia="Calibri" w:hAnsi="Arial" w:cs="Arial"/>
                <w:b/>
                <w:sz w:val="20"/>
                <w:szCs w:val="20"/>
                <w:lang w:val="es-ES"/>
              </w:rPr>
              <w:t>Procedimiento</w:t>
            </w:r>
          </w:p>
        </w:tc>
        <w:tc>
          <w:tcPr>
            <w:tcW w:w="895" w:type="dxa"/>
            <w:shd w:val="clear" w:color="auto" w:fill="5B9BD5" w:themeFill="accent1"/>
            <w:hideMark/>
          </w:tcPr>
          <w:p w:rsidR="000230D5" w:rsidRPr="000230D5" w:rsidRDefault="000230D5" w:rsidP="00D306FD">
            <w:pPr>
              <w:jc w:val="both"/>
              <w:rPr>
                <w:rFonts w:ascii="Arial" w:eastAsia="Calibri" w:hAnsi="Arial" w:cs="Arial"/>
                <w:b/>
                <w:sz w:val="20"/>
                <w:szCs w:val="20"/>
                <w:lang w:val="es-ES"/>
              </w:rPr>
            </w:pPr>
            <w:r w:rsidRPr="000230D5">
              <w:rPr>
                <w:rFonts w:ascii="Arial" w:eastAsia="Calibri" w:hAnsi="Arial" w:cs="Arial"/>
                <w:b/>
                <w:sz w:val="20"/>
                <w:szCs w:val="20"/>
                <w:lang w:val="es-ES"/>
              </w:rPr>
              <w:t>2017</w:t>
            </w:r>
          </w:p>
        </w:tc>
        <w:tc>
          <w:tcPr>
            <w:tcW w:w="895" w:type="dxa"/>
            <w:shd w:val="clear" w:color="auto" w:fill="5B9BD5" w:themeFill="accent1"/>
            <w:hideMark/>
          </w:tcPr>
          <w:p w:rsidR="000230D5" w:rsidRPr="000230D5" w:rsidRDefault="000230D5" w:rsidP="00D306FD">
            <w:pPr>
              <w:jc w:val="both"/>
              <w:rPr>
                <w:rFonts w:ascii="Arial" w:eastAsia="Calibri" w:hAnsi="Arial" w:cs="Arial"/>
                <w:b/>
                <w:sz w:val="20"/>
                <w:szCs w:val="20"/>
                <w:lang w:val="es-ES"/>
              </w:rPr>
            </w:pPr>
            <w:r w:rsidRPr="000230D5">
              <w:rPr>
                <w:rFonts w:ascii="Arial" w:eastAsia="Calibri" w:hAnsi="Arial" w:cs="Arial"/>
                <w:b/>
                <w:sz w:val="20"/>
                <w:szCs w:val="20"/>
                <w:lang w:val="es-ES"/>
              </w:rPr>
              <w:t>2018</w:t>
            </w:r>
          </w:p>
        </w:tc>
        <w:tc>
          <w:tcPr>
            <w:tcW w:w="906" w:type="dxa"/>
            <w:shd w:val="clear" w:color="auto" w:fill="5B9BD5" w:themeFill="accent1"/>
            <w:hideMark/>
          </w:tcPr>
          <w:p w:rsidR="000230D5" w:rsidRPr="000230D5" w:rsidRDefault="000230D5" w:rsidP="00D306FD">
            <w:pPr>
              <w:jc w:val="both"/>
              <w:rPr>
                <w:rFonts w:ascii="Arial" w:eastAsia="Calibri" w:hAnsi="Arial" w:cs="Arial"/>
                <w:b/>
                <w:sz w:val="20"/>
                <w:szCs w:val="20"/>
                <w:lang w:val="es-ES"/>
              </w:rPr>
            </w:pPr>
            <w:r w:rsidRPr="000230D5">
              <w:rPr>
                <w:rFonts w:ascii="Arial" w:eastAsia="Calibri" w:hAnsi="Arial" w:cs="Arial"/>
                <w:b/>
                <w:sz w:val="20"/>
                <w:szCs w:val="20"/>
                <w:lang w:val="es-ES"/>
              </w:rPr>
              <w:t>Total</w:t>
            </w:r>
          </w:p>
        </w:tc>
      </w:tr>
      <w:tr w:rsidR="000230D5" w:rsidRPr="008E5097" w:rsidTr="00A51A39">
        <w:trPr>
          <w:trHeight w:val="341"/>
          <w:jc w:val="center"/>
        </w:trPr>
        <w:tc>
          <w:tcPr>
            <w:tcW w:w="5642" w:type="dxa"/>
            <w:hideMark/>
          </w:tcPr>
          <w:p w:rsidR="000230D5" w:rsidRPr="000230D5" w:rsidRDefault="000230D5" w:rsidP="00D306FD">
            <w:pPr>
              <w:jc w:val="both"/>
              <w:rPr>
                <w:rFonts w:ascii="Arial" w:eastAsia="Calibri" w:hAnsi="Arial" w:cs="Arial"/>
                <w:sz w:val="20"/>
                <w:szCs w:val="20"/>
                <w:lang w:val="es-ES"/>
              </w:rPr>
            </w:pPr>
            <w:r w:rsidRPr="000230D5">
              <w:rPr>
                <w:rFonts w:ascii="Arial" w:eastAsia="Calibri" w:hAnsi="Arial" w:cs="Arial"/>
                <w:sz w:val="20"/>
                <w:szCs w:val="20"/>
                <w:lang w:val="es-ES"/>
              </w:rPr>
              <w:t xml:space="preserve">Apelación de Datos Personales </w:t>
            </w:r>
          </w:p>
        </w:tc>
        <w:tc>
          <w:tcPr>
            <w:tcW w:w="895" w:type="dxa"/>
            <w:hideMark/>
          </w:tcPr>
          <w:p w:rsidR="000230D5" w:rsidRPr="000230D5" w:rsidRDefault="000230D5" w:rsidP="00A51A39">
            <w:pPr>
              <w:jc w:val="right"/>
              <w:rPr>
                <w:rFonts w:ascii="Arial" w:eastAsia="Calibri" w:hAnsi="Arial" w:cs="Arial"/>
                <w:sz w:val="20"/>
                <w:szCs w:val="20"/>
                <w:lang w:val="es-ES"/>
              </w:rPr>
            </w:pPr>
            <w:r w:rsidRPr="000230D5">
              <w:rPr>
                <w:rFonts w:ascii="Arial" w:eastAsia="Calibri" w:hAnsi="Arial" w:cs="Arial"/>
                <w:sz w:val="20"/>
                <w:szCs w:val="20"/>
                <w:lang w:val="es-ES"/>
              </w:rPr>
              <w:t>106</w:t>
            </w:r>
          </w:p>
        </w:tc>
        <w:tc>
          <w:tcPr>
            <w:tcW w:w="895" w:type="dxa"/>
            <w:hideMark/>
          </w:tcPr>
          <w:p w:rsidR="000230D5" w:rsidRPr="000230D5" w:rsidRDefault="000230D5" w:rsidP="00A51A39">
            <w:pPr>
              <w:jc w:val="right"/>
              <w:rPr>
                <w:rFonts w:ascii="Arial" w:eastAsia="Calibri" w:hAnsi="Arial" w:cs="Arial"/>
                <w:sz w:val="20"/>
                <w:szCs w:val="20"/>
                <w:lang w:val="es-ES"/>
              </w:rPr>
            </w:pPr>
            <w:r w:rsidRPr="000230D5">
              <w:rPr>
                <w:rFonts w:ascii="Arial" w:eastAsia="Calibri" w:hAnsi="Arial" w:cs="Arial"/>
                <w:sz w:val="20"/>
                <w:szCs w:val="20"/>
                <w:lang w:val="es-ES"/>
              </w:rPr>
              <w:t>117</w:t>
            </w:r>
          </w:p>
        </w:tc>
        <w:tc>
          <w:tcPr>
            <w:tcW w:w="906" w:type="dxa"/>
            <w:hideMark/>
          </w:tcPr>
          <w:p w:rsidR="000230D5" w:rsidRPr="000230D5" w:rsidRDefault="000230D5" w:rsidP="00A51A39">
            <w:pPr>
              <w:jc w:val="right"/>
              <w:rPr>
                <w:rFonts w:ascii="Arial" w:eastAsia="Calibri" w:hAnsi="Arial" w:cs="Arial"/>
                <w:sz w:val="20"/>
                <w:szCs w:val="20"/>
                <w:lang w:val="es-ES"/>
              </w:rPr>
            </w:pPr>
            <w:r w:rsidRPr="000230D5">
              <w:rPr>
                <w:rFonts w:ascii="Arial" w:eastAsia="Calibri" w:hAnsi="Arial" w:cs="Arial"/>
                <w:sz w:val="20"/>
                <w:szCs w:val="20"/>
                <w:lang w:val="es-ES"/>
              </w:rPr>
              <w:t>223</w:t>
            </w:r>
          </w:p>
        </w:tc>
      </w:tr>
      <w:tr w:rsidR="000230D5" w:rsidRPr="008E5097" w:rsidTr="00A51A39">
        <w:trPr>
          <w:cnfStyle w:val="000000100000" w:firstRow="0" w:lastRow="0" w:firstColumn="0" w:lastColumn="0" w:oddVBand="0" w:evenVBand="0" w:oddHBand="1" w:evenHBand="0" w:firstRowFirstColumn="0" w:firstRowLastColumn="0" w:lastRowFirstColumn="0" w:lastRowLastColumn="0"/>
          <w:trHeight w:val="341"/>
          <w:jc w:val="center"/>
        </w:trPr>
        <w:tc>
          <w:tcPr>
            <w:tcW w:w="5642" w:type="dxa"/>
            <w:hideMark/>
          </w:tcPr>
          <w:p w:rsidR="000230D5" w:rsidRPr="000230D5" w:rsidRDefault="000230D5" w:rsidP="00D306FD">
            <w:pPr>
              <w:jc w:val="both"/>
              <w:rPr>
                <w:rFonts w:ascii="Arial" w:eastAsia="Calibri" w:hAnsi="Arial" w:cs="Arial"/>
                <w:sz w:val="20"/>
                <w:szCs w:val="20"/>
                <w:lang w:val="es-ES"/>
              </w:rPr>
            </w:pPr>
            <w:r w:rsidRPr="000230D5">
              <w:rPr>
                <w:rFonts w:ascii="Arial" w:eastAsia="Calibri" w:hAnsi="Arial" w:cs="Arial"/>
                <w:sz w:val="20"/>
                <w:szCs w:val="20"/>
                <w:lang w:val="es-ES"/>
              </w:rPr>
              <w:t>Sancionatorio</w:t>
            </w:r>
          </w:p>
        </w:tc>
        <w:tc>
          <w:tcPr>
            <w:tcW w:w="895" w:type="dxa"/>
            <w:hideMark/>
          </w:tcPr>
          <w:p w:rsidR="000230D5" w:rsidRPr="000230D5" w:rsidRDefault="000230D5" w:rsidP="00A51A39">
            <w:pPr>
              <w:jc w:val="right"/>
              <w:rPr>
                <w:rFonts w:ascii="Arial" w:eastAsia="Calibri" w:hAnsi="Arial" w:cs="Arial"/>
                <w:sz w:val="20"/>
                <w:szCs w:val="20"/>
                <w:lang w:val="es-ES"/>
              </w:rPr>
            </w:pPr>
            <w:r w:rsidRPr="000230D5">
              <w:rPr>
                <w:rFonts w:ascii="Arial" w:eastAsia="Calibri" w:hAnsi="Arial" w:cs="Arial"/>
                <w:sz w:val="20"/>
                <w:szCs w:val="20"/>
                <w:lang w:val="es-ES"/>
              </w:rPr>
              <w:t>5</w:t>
            </w:r>
          </w:p>
        </w:tc>
        <w:tc>
          <w:tcPr>
            <w:tcW w:w="895" w:type="dxa"/>
            <w:hideMark/>
          </w:tcPr>
          <w:p w:rsidR="000230D5" w:rsidRPr="000230D5" w:rsidRDefault="000230D5" w:rsidP="00A51A39">
            <w:pPr>
              <w:jc w:val="right"/>
              <w:rPr>
                <w:rFonts w:ascii="Arial" w:eastAsia="Calibri" w:hAnsi="Arial" w:cs="Arial"/>
                <w:sz w:val="20"/>
                <w:szCs w:val="20"/>
                <w:lang w:val="es-ES"/>
              </w:rPr>
            </w:pPr>
            <w:r w:rsidRPr="000230D5">
              <w:rPr>
                <w:rFonts w:ascii="Arial" w:eastAsia="Calibri" w:hAnsi="Arial" w:cs="Arial"/>
                <w:sz w:val="20"/>
                <w:szCs w:val="20"/>
                <w:lang w:val="es-ES"/>
              </w:rPr>
              <w:t>9</w:t>
            </w:r>
          </w:p>
        </w:tc>
        <w:tc>
          <w:tcPr>
            <w:tcW w:w="906" w:type="dxa"/>
            <w:hideMark/>
          </w:tcPr>
          <w:p w:rsidR="000230D5" w:rsidRPr="000230D5" w:rsidRDefault="000230D5" w:rsidP="00A51A39">
            <w:pPr>
              <w:jc w:val="right"/>
              <w:rPr>
                <w:rFonts w:ascii="Arial" w:eastAsia="Calibri" w:hAnsi="Arial" w:cs="Arial"/>
                <w:sz w:val="20"/>
                <w:szCs w:val="20"/>
                <w:lang w:val="es-ES"/>
              </w:rPr>
            </w:pPr>
            <w:r w:rsidRPr="000230D5">
              <w:rPr>
                <w:rFonts w:ascii="Arial" w:eastAsia="Calibri" w:hAnsi="Arial" w:cs="Arial"/>
                <w:sz w:val="20"/>
                <w:szCs w:val="20"/>
                <w:lang w:val="es-ES"/>
              </w:rPr>
              <w:t>14</w:t>
            </w:r>
          </w:p>
        </w:tc>
      </w:tr>
      <w:tr w:rsidR="000230D5" w:rsidRPr="008E5097" w:rsidTr="00A51A39">
        <w:trPr>
          <w:trHeight w:val="341"/>
          <w:jc w:val="center"/>
        </w:trPr>
        <w:tc>
          <w:tcPr>
            <w:tcW w:w="5642" w:type="dxa"/>
            <w:hideMark/>
          </w:tcPr>
          <w:p w:rsidR="000230D5" w:rsidRPr="000230D5" w:rsidRDefault="000230D5" w:rsidP="00D306FD">
            <w:pPr>
              <w:jc w:val="both"/>
              <w:rPr>
                <w:rFonts w:ascii="Arial" w:eastAsia="Calibri" w:hAnsi="Arial" w:cs="Arial"/>
                <w:sz w:val="20"/>
                <w:szCs w:val="20"/>
                <w:lang w:val="es-ES"/>
              </w:rPr>
            </w:pPr>
            <w:r w:rsidRPr="000230D5">
              <w:rPr>
                <w:rFonts w:ascii="Arial" w:eastAsia="Calibri" w:hAnsi="Arial" w:cs="Arial"/>
                <w:sz w:val="20"/>
                <w:szCs w:val="20"/>
                <w:lang w:val="es-ES"/>
              </w:rPr>
              <w:t>Total</w:t>
            </w:r>
          </w:p>
        </w:tc>
        <w:tc>
          <w:tcPr>
            <w:tcW w:w="895" w:type="dxa"/>
            <w:hideMark/>
          </w:tcPr>
          <w:p w:rsidR="000230D5" w:rsidRPr="000230D5" w:rsidRDefault="000230D5" w:rsidP="00A51A39">
            <w:pPr>
              <w:jc w:val="right"/>
              <w:rPr>
                <w:rFonts w:ascii="Arial" w:eastAsia="Calibri" w:hAnsi="Arial" w:cs="Arial"/>
                <w:sz w:val="20"/>
                <w:szCs w:val="20"/>
                <w:lang w:val="es-ES"/>
              </w:rPr>
            </w:pPr>
            <w:r w:rsidRPr="000230D5">
              <w:rPr>
                <w:rFonts w:ascii="Arial" w:eastAsia="Calibri" w:hAnsi="Arial" w:cs="Arial"/>
                <w:sz w:val="20"/>
                <w:szCs w:val="20"/>
                <w:lang w:val="es-ES"/>
              </w:rPr>
              <w:t>111</w:t>
            </w:r>
          </w:p>
        </w:tc>
        <w:tc>
          <w:tcPr>
            <w:tcW w:w="895" w:type="dxa"/>
            <w:hideMark/>
          </w:tcPr>
          <w:p w:rsidR="000230D5" w:rsidRPr="000230D5" w:rsidRDefault="000230D5" w:rsidP="00A51A39">
            <w:pPr>
              <w:jc w:val="right"/>
              <w:rPr>
                <w:rFonts w:ascii="Arial" w:eastAsia="Calibri" w:hAnsi="Arial" w:cs="Arial"/>
                <w:sz w:val="20"/>
                <w:szCs w:val="20"/>
                <w:lang w:val="es-ES"/>
              </w:rPr>
            </w:pPr>
            <w:r w:rsidRPr="000230D5">
              <w:rPr>
                <w:rFonts w:ascii="Arial" w:eastAsia="Calibri" w:hAnsi="Arial" w:cs="Arial"/>
                <w:sz w:val="20"/>
                <w:szCs w:val="20"/>
                <w:lang w:val="es-ES"/>
              </w:rPr>
              <w:t>126</w:t>
            </w:r>
          </w:p>
        </w:tc>
        <w:tc>
          <w:tcPr>
            <w:tcW w:w="906" w:type="dxa"/>
            <w:hideMark/>
          </w:tcPr>
          <w:p w:rsidR="000230D5" w:rsidRPr="000230D5" w:rsidRDefault="000230D5" w:rsidP="00A51A39">
            <w:pPr>
              <w:jc w:val="right"/>
              <w:rPr>
                <w:rFonts w:ascii="Arial" w:eastAsia="Calibri" w:hAnsi="Arial" w:cs="Arial"/>
                <w:sz w:val="20"/>
                <w:szCs w:val="20"/>
                <w:lang w:val="es-ES"/>
              </w:rPr>
            </w:pPr>
            <w:r w:rsidRPr="000230D5">
              <w:rPr>
                <w:rFonts w:ascii="Arial" w:eastAsia="Calibri" w:hAnsi="Arial" w:cs="Arial"/>
                <w:sz w:val="20"/>
                <w:szCs w:val="20"/>
                <w:lang w:val="es-ES"/>
              </w:rPr>
              <w:t>237</w:t>
            </w:r>
          </w:p>
        </w:tc>
      </w:tr>
    </w:tbl>
    <w:p w:rsidR="000230D5" w:rsidRDefault="000230D5" w:rsidP="00AE3262">
      <w:pPr>
        <w:pStyle w:val="NormalWeb"/>
        <w:shd w:val="clear" w:color="auto" w:fill="FFFFFF"/>
        <w:spacing w:after="300" w:line="276" w:lineRule="auto"/>
        <w:jc w:val="both"/>
        <w:textAlignment w:val="baseline"/>
        <w:rPr>
          <w:bCs/>
          <w:bdr w:val="none" w:sz="0" w:space="0" w:color="auto" w:frame="1"/>
          <w:lang w:val="es-SV" w:eastAsia="es-SV"/>
        </w:rPr>
      </w:pPr>
    </w:p>
    <w:p w:rsidR="000230D5" w:rsidRDefault="000230D5" w:rsidP="000230D5">
      <w:pPr>
        <w:pStyle w:val="NormalWeb"/>
        <w:shd w:val="clear" w:color="auto" w:fill="FFFFFF"/>
        <w:spacing w:after="300" w:line="276" w:lineRule="auto"/>
        <w:jc w:val="both"/>
        <w:textAlignment w:val="baseline"/>
        <w:rPr>
          <w:b/>
          <w:bCs/>
          <w:sz w:val="22"/>
          <w:szCs w:val="22"/>
          <w:bdr w:val="none" w:sz="0" w:space="0" w:color="auto" w:frame="1"/>
          <w:lang w:val="es-SV" w:eastAsia="es-SV"/>
        </w:rPr>
      </w:pPr>
      <w:r w:rsidRPr="006263B1">
        <w:rPr>
          <w:b/>
          <w:bCs/>
          <w:sz w:val="22"/>
          <w:szCs w:val="22"/>
          <w:bdr w:val="none" w:sz="0" w:space="0" w:color="auto" w:frame="1"/>
          <w:lang w:val="es-SV" w:eastAsia="es-SV"/>
        </w:rPr>
        <w:t>Autoridades más demandadas</w:t>
      </w:r>
    </w:p>
    <w:p w:rsidR="000230D5" w:rsidRPr="000230D5" w:rsidRDefault="000230D5" w:rsidP="000230D5">
      <w:pPr>
        <w:pStyle w:val="NormalWeb"/>
        <w:shd w:val="clear" w:color="auto" w:fill="FFFFFF"/>
        <w:spacing w:after="300" w:line="276" w:lineRule="auto"/>
        <w:jc w:val="both"/>
        <w:textAlignment w:val="baseline"/>
        <w:rPr>
          <w:bCs/>
          <w:sz w:val="22"/>
          <w:szCs w:val="22"/>
          <w:bdr w:val="none" w:sz="0" w:space="0" w:color="auto" w:frame="1"/>
          <w:lang w:val="es-SV" w:eastAsia="es-SV"/>
        </w:rPr>
      </w:pPr>
      <w:r w:rsidRPr="006263B1">
        <w:rPr>
          <w:bCs/>
          <w:sz w:val="22"/>
          <w:szCs w:val="22"/>
          <w:bdr w:val="none" w:sz="0" w:space="0" w:color="auto" w:frame="1"/>
          <w:lang w:val="es-SV" w:eastAsia="es-SV"/>
        </w:rPr>
        <w:t>En este periodo las entidades que reportan más recursos de apelación son</w:t>
      </w:r>
      <w:r>
        <w:rPr>
          <w:bCs/>
          <w:sz w:val="22"/>
          <w:szCs w:val="22"/>
          <w:bdr w:val="none" w:sz="0" w:space="0" w:color="auto" w:frame="1"/>
          <w:lang w:val="es-SV" w:eastAsia="es-SV"/>
        </w:rPr>
        <w:t xml:space="preserve"> el Banco Central de Reserva, la Asamblea Legislativa y la Dirección General de Centros Penales.</w:t>
      </w:r>
    </w:p>
    <w:tbl>
      <w:tblPr>
        <w:tblStyle w:val="Tabladecuadrcula5oscura-nfasis1"/>
        <w:tblW w:w="5524" w:type="dxa"/>
        <w:tblLayout w:type="fixed"/>
        <w:tblLook w:val="04A0" w:firstRow="1" w:lastRow="0" w:firstColumn="1" w:lastColumn="0" w:noHBand="0" w:noVBand="1"/>
      </w:tblPr>
      <w:tblGrid>
        <w:gridCol w:w="4094"/>
        <w:gridCol w:w="1430"/>
      </w:tblGrid>
      <w:tr w:rsidR="002E44E3" w:rsidRPr="008E5097" w:rsidTr="002E44E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094" w:type="dxa"/>
            <w:hideMark/>
          </w:tcPr>
          <w:p w:rsidR="002E44E3" w:rsidRPr="008E5097" w:rsidRDefault="002E44E3" w:rsidP="00435A2E">
            <w:pPr>
              <w:jc w:val="both"/>
              <w:rPr>
                <w:rFonts w:ascii="Arial" w:eastAsia="Calibri" w:hAnsi="Arial" w:cs="Arial"/>
                <w:sz w:val="20"/>
                <w:lang w:val="es-ES"/>
              </w:rPr>
            </w:pPr>
            <w:r w:rsidRPr="008E5097">
              <w:rPr>
                <w:rFonts w:ascii="Arial" w:eastAsia="Calibri" w:hAnsi="Arial" w:cs="Arial"/>
                <w:sz w:val="20"/>
                <w:lang w:val="es-ES"/>
              </w:rPr>
              <w:t>Autoridad</w:t>
            </w:r>
          </w:p>
        </w:tc>
        <w:tc>
          <w:tcPr>
            <w:tcW w:w="1430" w:type="dxa"/>
            <w:hideMark/>
          </w:tcPr>
          <w:p w:rsidR="002E44E3" w:rsidRPr="008E5097" w:rsidRDefault="002E44E3" w:rsidP="00435A2E">
            <w:pPr>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lang w:val="es-ES"/>
              </w:rPr>
            </w:pPr>
            <w:r w:rsidRPr="008E5097">
              <w:rPr>
                <w:rFonts w:ascii="Arial" w:eastAsia="Calibri" w:hAnsi="Arial" w:cs="Arial"/>
                <w:sz w:val="20"/>
                <w:lang w:val="es-ES"/>
              </w:rPr>
              <w:t>Cuenta</w:t>
            </w:r>
          </w:p>
        </w:tc>
      </w:tr>
      <w:tr w:rsidR="002E44E3" w:rsidRPr="008E5097" w:rsidTr="002E44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094" w:type="dxa"/>
            <w:hideMark/>
          </w:tcPr>
          <w:p w:rsidR="002E44E3" w:rsidRPr="008E5097" w:rsidRDefault="002E44E3" w:rsidP="00435A2E">
            <w:pPr>
              <w:jc w:val="both"/>
              <w:rPr>
                <w:rFonts w:ascii="Arial" w:eastAsia="Calibri" w:hAnsi="Arial" w:cs="Arial"/>
                <w:sz w:val="20"/>
                <w:lang w:val="es-ES"/>
              </w:rPr>
            </w:pPr>
            <w:r w:rsidRPr="008E5097">
              <w:rPr>
                <w:rFonts w:ascii="Arial" w:eastAsia="Calibri" w:hAnsi="Arial" w:cs="Arial"/>
                <w:sz w:val="20"/>
                <w:lang w:val="es-ES"/>
              </w:rPr>
              <w:t>Dirección General de Centros Penales</w:t>
            </w:r>
          </w:p>
        </w:tc>
        <w:tc>
          <w:tcPr>
            <w:tcW w:w="1430" w:type="dxa"/>
            <w:hideMark/>
          </w:tcPr>
          <w:p w:rsidR="002E44E3" w:rsidRPr="008E5097" w:rsidRDefault="002E44E3" w:rsidP="00435A2E">
            <w:pPr>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lang w:val="es-ES"/>
              </w:rPr>
            </w:pPr>
            <w:r w:rsidRPr="008E5097">
              <w:rPr>
                <w:rFonts w:ascii="Arial" w:eastAsia="Calibri" w:hAnsi="Arial" w:cs="Arial"/>
                <w:sz w:val="20"/>
                <w:lang w:val="es-ES"/>
              </w:rPr>
              <w:t>88</w:t>
            </w:r>
          </w:p>
        </w:tc>
      </w:tr>
      <w:tr w:rsidR="002E44E3" w:rsidRPr="008E5097" w:rsidTr="002E44E3">
        <w:trPr>
          <w:trHeight w:val="300"/>
        </w:trPr>
        <w:tc>
          <w:tcPr>
            <w:cnfStyle w:val="001000000000" w:firstRow="0" w:lastRow="0" w:firstColumn="1" w:lastColumn="0" w:oddVBand="0" w:evenVBand="0" w:oddHBand="0" w:evenHBand="0" w:firstRowFirstColumn="0" w:firstRowLastColumn="0" w:lastRowFirstColumn="0" w:lastRowLastColumn="0"/>
            <w:tcW w:w="4094" w:type="dxa"/>
            <w:hideMark/>
          </w:tcPr>
          <w:p w:rsidR="002E44E3" w:rsidRPr="008E5097" w:rsidRDefault="002E44E3" w:rsidP="00435A2E">
            <w:pPr>
              <w:jc w:val="both"/>
              <w:rPr>
                <w:rFonts w:ascii="Arial" w:eastAsia="Calibri" w:hAnsi="Arial" w:cs="Arial"/>
                <w:sz w:val="20"/>
                <w:lang w:val="es-ES"/>
              </w:rPr>
            </w:pPr>
            <w:r w:rsidRPr="008E5097">
              <w:rPr>
                <w:rFonts w:ascii="Arial" w:eastAsia="Calibri" w:hAnsi="Arial" w:cs="Arial"/>
                <w:sz w:val="20"/>
                <w:lang w:val="es-ES"/>
              </w:rPr>
              <w:t>Policía Nacional Civil</w:t>
            </w:r>
          </w:p>
        </w:tc>
        <w:tc>
          <w:tcPr>
            <w:tcW w:w="1430" w:type="dxa"/>
            <w:hideMark/>
          </w:tcPr>
          <w:p w:rsidR="002E44E3" w:rsidRPr="008E5097" w:rsidRDefault="002E44E3" w:rsidP="00435A2E">
            <w:pPr>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lang w:val="es-ES"/>
              </w:rPr>
            </w:pPr>
            <w:r w:rsidRPr="008E5097">
              <w:rPr>
                <w:rFonts w:ascii="Arial" w:eastAsia="Calibri" w:hAnsi="Arial" w:cs="Arial"/>
                <w:sz w:val="20"/>
                <w:lang w:val="es-ES"/>
              </w:rPr>
              <w:t>76</w:t>
            </w:r>
          </w:p>
        </w:tc>
      </w:tr>
      <w:tr w:rsidR="002E44E3" w:rsidRPr="008E5097" w:rsidTr="002E44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094" w:type="dxa"/>
            <w:hideMark/>
          </w:tcPr>
          <w:p w:rsidR="002E44E3" w:rsidRPr="008E5097" w:rsidRDefault="002E44E3" w:rsidP="00435A2E">
            <w:pPr>
              <w:jc w:val="both"/>
              <w:rPr>
                <w:rFonts w:ascii="Arial" w:eastAsia="Calibri" w:hAnsi="Arial" w:cs="Arial"/>
                <w:sz w:val="20"/>
                <w:lang w:val="es-ES"/>
              </w:rPr>
            </w:pPr>
            <w:r w:rsidRPr="008E5097">
              <w:rPr>
                <w:rFonts w:ascii="Arial" w:eastAsia="Calibri" w:hAnsi="Arial" w:cs="Arial"/>
                <w:sz w:val="20"/>
                <w:lang w:val="es-ES"/>
              </w:rPr>
              <w:t>Instituto Salvadoreño del Seguro Social</w:t>
            </w:r>
          </w:p>
        </w:tc>
        <w:tc>
          <w:tcPr>
            <w:tcW w:w="1430" w:type="dxa"/>
            <w:hideMark/>
          </w:tcPr>
          <w:p w:rsidR="002E44E3" w:rsidRPr="008E5097" w:rsidRDefault="002E44E3" w:rsidP="00435A2E">
            <w:pPr>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lang w:val="es-ES"/>
              </w:rPr>
            </w:pPr>
            <w:r w:rsidRPr="008E5097">
              <w:rPr>
                <w:rFonts w:ascii="Arial" w:eastAsia="Calibri" w:hAnsi="Arial" w:cs="Arial"/>
                <w:sz w:val="20"/>
                <w:lang w:val="es-ES"/>
              </w:rPr>
              <w:t>14</w:t>
            </w:r>
          </w:p>
        </w:tc>
      </w:tr>
      <w:tr w:rsidR="002E44E3" w:rsidRPr="008E5097" w:rsidTr="002E44E3">
        <w:trPr>
          <w:trHeight w:val="300"/>
        </w:trPr>
        <w:tc>
          <w:tcPr>
            <w:cnfStyle w:val="001000000000" w:firstRow="0" w:lastRow="0" w:firstColumn="1" w:lastColumn="0" w:oddVBand="0" w:evenVBand="0" w:oddHBand="0" w:evenHBand="0" w:firstRowFirstColumn="0" w:firstRowLastColumn="0" w:lastRowFirstColumn="0" w:lastRowLastColumn="0"/>
            <w:tcW w:w="4094" w:type="dxa"/>
            <w:hideMark/>
          </w:tcPr>
          <w:p w:rsidR="002E44E3" w:rsidRPr="008E5097" w:rsidRDefault="002E44E3" w:rsidP="00435A2E">
            <w:pPr>
              <w:jc w:val="both"/>
              <w:rPr>
                <w:rFonts w:ascii="Arial" w:eastAsia="Calibri" w:hAnsi="Arial" w:cs="Arial"/>
                <w:sz w:val="20"/>
                <w:lang w:val="es-ES"/>
              </w:rPr>
            </w:pPr>
            <w:r w:rsidRPr="008E5097">
              <w:rPr>
                <w:rFonts w:ascii="Arial" w:eastAsia="Calibri" w:hAnsi="Arial" w:cs="Arial"/>
                <w:sz w:val="20"/>
                <w:lang w:val="es-ES"/>
              </w:rPr>
              <w:t>Ministerio de Salud</w:t>
            </w:r>
          </w:p>
        </w:tc>
        <w:tc>
          <w:tcPr>
            <w:tcW w:w="1430" w:type="dxa"/>
            <w:hideMark/>
          </w:tcPr>
          <w:p w:rsidR="002E44E3" w:rsidRPr="008E5097" w:rsidRDefault="002E44E3" w:rsidP="00435A2E">
            <w:pPr>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lang w:val="es-ES"/>
              </w:rPr>
            </w:pPr>
            <w:r w:rsidRPr="008E5097">
              <w:rPr>
                <w:rFonts w:ascii="Arial" w:eastAsia="Calibri" w:hAnsi="Arial" w:cs="Arial"/>
                <w:sz w:val="20"/>
                <w:lang w:val="es-ES"/>
              </w:rPr>
              <w:t>5</w:t>
            </w:r>
          </w:p>
        </w:tc>
      </w:tr>
      <w:tr w:rsidR="002E44E3" w:rsidRPr="008E5097" w:rsidTr="002E44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094" w:type="dxa"/>
            <w:hideMark/>
          </w:tcPr>
          <w:p w:rsidR="002E44E3" w:rsidRPr="008E5097" w:rsidRDefault="002E44E3" w:rsidP="00435A2E">
            <w:pPr>
              <w:jc w:val="both"/>
              <w:rPr>
                <w:rFonts w:ascii="Arial" w:eastAsia="Calibri" w:hAnsi="Arial" w:cs="Arial"/>
                <w:sz w:val="20"/>
                <w:lang w:val="es-ES"/>
              </w:rPr>
            </w:pPr>
            <w:r w:rsidRPr="008E5097">
              <w:rPr>
                <w:rFonts w:ascii="Arial" w:eastAsia="Calibri" w:hAnsi="Arial" w:cs="Arial"/>
                <w:sz w:val="20"/>
                <w:lang w:val="es-ES"/>
              </w:rPr>
              <w:t xml:space="preserve">Procuraduría General de la República </w:t>
            </w:r>
          </w:p>
        </w:tc>
        <w:tc>
          <w:tcPr>
            <w:tcW w:w="1430" w:type="dxa"/>
            <w:hideMark/>
          </w:tcPr>
          <w:p w:rsidR="002E44E3" w:rsidRPr="008E5097" w:rsidRDefault="002E44E3" w:rsidP="00435A2E">
            <w:pPr>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lang w:val="es-ES"/>
              </w:rPr>
            </w:pPr>
            <w:r w:rsidRPr="008E5097">
              <w:rPr>
                <w:rFonts w:ascii="Arial" w:eastAsia="Calibri" w:hAnsi="Arial" w:cs="Arial"/>
                <w:sz w:val="20"/>
                <w:lang w:val="es-ES"/>
              </w:rPr>
              <w:t>4</w:t>
            </w:r>
          </w:p>
        </w:tc>
      </w:tr>
      <w:tr w:rsidR="002E44E3" w:rsidRPr="008E5097" w:rsidTr="002E44E3">
        <w:trPr>
          <w:trHeight w:val="300"/>
        </w:trPr>
        <w:tc>
          <w:tcPr>
            <w:cnfStyle w:val="001000000000" w:firstRow="0" w:lastRow="0" w:firstColumn="1" w:lastColumn="0" w:oddVBand="0" w:evenVBand="0" w:oddHBand="0" w:evenHBand="0" w:firstRowFirstColumn="0" w:firstRowLastColumn="0" w:lastRowFirstColumn="0" w:lastRowLastColumn="0"/>
            <w:tcW w:w="4094" w:type="dxa"/>
          </w:tcPr>
          <w:p w:rsidR="002E44E3" w:rsidRPr="008E5097" w:rsidRDefault="002E44E3" w:rsidP="00435A2E">
            <w:pPr>
              <w:jc w:val="both"/>
              <w:rPr>
                <w:rFonts w:ascii="Arial" w:eastAsia="Calibri" w:hAnsi="Arial" w:cs="Arial"/>
                <w:sz w:val="20"/>
                <w:lang w:val="es-ES"/>
              </w:rPr>
            </w:pPr>
            <w:r>
              <w:rPr>
                <w:rFonts w:ascii="Arial" w:eastAsia="Calibri" w:hAnsi="Arial" w:cs="Arial"/>
                <w:sz w:val="20"/>
                <w:lang w:val="es-ES"/>
              </w:rPr>
              <w:t>Total</w:t>
            </w:r>
          </w:p>
        </w:tc>
        <w:tc>
          <w:tcPr>
            <w:tcW w:w="1430" w:type="dxa"/>
          </w:tcPr>
          <w:p w:rsidR="002E44E3" w:rsidRPr="008E5097" w:rsidRDefault="002E44E3" w:rsidP="00435A2E">
            <w:pPr>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lang w:val="es-ES"/>
              </w:rPr>
            </w:pPr>
            <w:r>
              <w:rPr>
                <w:rFonts w:ascii="Arial" w:eastAsia="Calibri" w:hAnsi="Arial" w:cs="Arial"/>
                <w:sz w:val="20"/>
                <w:lang w:val="es-ES"/>
              </w:rPr>
              <w:t>187</w:t>
            </w:r>
          </w:p>
        </w:tc>
      </w:tr>
    </w:tbl>
    <w:p w:rsidR="001E67EA" w:rsidRDefault="001E67EA" w:rsidP="000230D5">
      <w:pPr>
        <w:pStyle w:val="NormalWeb"/>
        <w:shd w:val="clear" w:color="auto" w:fill="FFFFFF"/>
        <w:spacing w:after="300" w:line="276" w:lineRule="auto"/>
        <w:jc w:val="both"/>
        <w:textAlignment w:val="baseline"/>
        <w:rPr>
          <w:b/>
          <w:bCs/>
          <w:sz w:val="22"/>
          <w:szCs w:val="22"/>
          <w:bdr w:val="none" w:sz="0" w:space="0" w:color="auto" w:frame="1"/>
          <w:lang w:val="es-SV" w:eastAsia="es-SV"/>
        </w:rPr>
      </w:pPr>
    </w:p>
    <w:p w:rsidR="000230D5" w:rsidRDefault="000230D5" w:rsidP="000230D5">
      <w:pPr>
        <w:pStyle w:val="NormalWeb"/>
        <w:shd w:val="clear" w:color="auto" w:fill="FFFFFF"/>
        <w:spacing w:after="300" w:line="276" w:lineRule="auto"/>
        <w:jc w:val="both"/>
        <w:textAlignment w:val="baseline"/>
        <w:rPr>
          <w:b/>
          <w:bCs/>
          <w:sz w:val="22"/>
          <w:szCs w:val="22"/>
          <w:bdr w:val="none" w:sz="0" w:space="0" w:color="auto" w:frame="1"/>
          <w:lang w:val="es-SV" w:eastAsia="es-SV"/>
        </w:rPr>
      </w:pPr>
      <w:r w:rsidRPr="006263B1">
        <w:rPr>
          <w:b/>
          <w:bCs/>
          <w:sz w:val="22"/>
          <w:szCs w:val="22"/>
          <w:bdr w:val="none" w:sz="0" w:space="0" w:color="auto" w:frame="1"/>
          <w:lang w:val="es-SV" w:eastAsia="es-SV"/>
        </w:rPr>
        <w:t>Solicitudes de Información</w:t>
      </w:r>
    </w:p>
    <w:p w:rsidR="000230D5" w:rsidRPr="001E67EA" w:rsidRDefault="00B62A9A" w:rsidP="001E67EA">
      <w:pPr>
        <w:pStyle w:val="NormalWeb"/>
        <w:shd w:val="clear" w:color="auto" w:fill="FFFFFF"/>
        <w:spacing w:after="300" w:line="276" w:lineRule="auto"/>
        <w:jc w:val="both"/>
        <w:textAlignment w:val="baseline"/>
        <w:rPr>
          <w:bCs/>
          <w:sz w:val="22"/>
          <w:szCs w:val="22"/>
          <w:bdr w:val="none" w:sz="0" w:space="0" w:color="auto" w:frame="1"/>
          <w:lang w:val="es-SV" w:eastAsia="es-SV"/>
        </w:rPr>
      </w:pPr>
      <w:r w:rsidRPr="001E67EA">
        <w:rPr>
          <w:bCs/>
          <w:sz w:val="22"/>
          <w:szCs w:val="22"/>
          <w:bdr w:val="none" w:sz="0" w:space="0" w:color="auto" w:frame="1"/>
          <w:lang w:val="es-SV" w:eastAsia="es-SV"/>
        </w:rPr>
        <w:t xml:space="preserve">Para el caso de las solicitudes tramitadas en la Unidad de Acceso a la Información del IAIP, </w:t>
      </w:r>
      <w:r w:rsidR="001E67EA">
        <w:rPr>
          <w:bCs/>
          <w:sz w:val="22"/>
          <w:szCs w:val="22"/>
          <w:bdr w:val="none" w:sz="0" w:space="0" w:color="auto" w:frame="1"/>
          <w:lang w:val="es-SV" w:eastAsia="es-SV"/>
        </w:rPr>
        <w:t xml:space="preserve">se </w:t>
      </w:r>
      <w:r w:rsidR="001E67EA" w:rsidRPr="001E67EA">
        <w:rPr>
          <w:bCs/>
          <w:sz w:val="22"/>
          <w:szCs w:val="22"/>
          <w:bdr w:val="none" w:sz="0" w:space="0" w:color="auto" w:frame="1"/>
          <w:lang w:val="es-SV" w:eastAsia="es-SV"/>
        </w:rPr>
        <w:t>tramitaron</w:t>
      </w:r>
      <w:r w:rsidR="001E67EA">
        <w:rPr>
          <w:bCs/>
          <w:sz w:val="22"/>
          <w:szCs w:val="22"/>
          <w:bdr w:val="none" w:sz="0" w:space="0" w:color="auto" w:frame="1"/>
          <w:lang w:val="es-SV" w:eastAsia="es-SV"/>
        </w:rPr>
        <w:t xml:space="preserve"> y resolvieron</w:t>
      </w:r>
      <w:r w:rsidRPr="001E67EA">
        <w:rPr>
          <w:bCs/>
          <w:sz w:val="22"/>
          <w:szCs w:val="22"/>
          <w:bdr w:val="none" w:sz="0" w:space="0" w:color="auto" w:frame="1"/>
          <w:lang w:val="es-SV" w:eastAsia="es-SV"/>
        </w:rPr>
        <w:t xml:space="preserve"> 1</w:t>
      </w:r>
      <w:r w:rsidR="001E67EA" w:rsidRPr="001E67EA">
        <w:rPr>
          <w:bCs/>
          <w:sz w:val="22"/>
          <w:szCs w:val="22"/>
          <w:bdr w:val="none" w:sz="0" w:space="0" w:color="auto" w:frame="1"/>
          <w:lang w:val="es-SV" w:eastAsia="es-SV"/>
        </w:rPr>
        <w:t>29</w:t>
      </w:r>
      <w:r w:rsidRPr="001E67EA">
        <w:rPr>
          <w:bCs/>
          <w:sz w:val="22"/>
          <w:szCs w:val="22"/>
          <w:bdr w:val="none" w:sz="0" w:space="0" w:color="auto" w:frame="1"/>
          <w:lang w:val="es-SV" w:eastAsia="es-SV"/>
        </w:rPr>
        <w:t xml:space="preserve"> solicitudes</w:t>
      </w:r>
      <w:r w:rsidRPr="001E67EA">
        <w:rPr>
          <w:sz w:val="22"/>
          <w:szCs w:val="22"/>
        </w:rPr>
        <w:t xml:space="preserve"> </w:t>
      </w:r>
      <w:r w:rsidR="001E67EA">
        <w:rPr>
          <w:sz w:val="22"/>
          <w:szCs w:val="22"/>
        </w:rPr>
        <w:t xml:space="preserve">en el período, </w:t>
      </w:r>
      <w:r w:rsidRPr="001E67EA">
        <w:rPr>
          <w:bCs/>
          <w:sz w:val="22"/>
          <w:szCs w:val="22"/>
          <w:bdr w:val="none" w:sz="0" w:space="0" w:color="auto" w:frame="1"/>
          <w:lang w:val="es-SV" w:eastAsia="es-SV"/>
        </w:rPr>
        <w:t xml:space="preserve">cuyo tiempo de respuesta oscila </w:t>
      </w:r>
      <w:r w:rsidR="001E67EA">
        <w:rPr>
          <w:bCs/>
          <w:sz w:val="22"/>
          <w:szCs w:val="22"/>
          <w:bdr w:val="none" w:sz="0" w:space="0" w:color="auto" w:frame="1"/>
          <w:lang w:val="es-SV" w:eastAsia="es-SV"/>
        </w:rPr>
        <w:t>en</w:t>
      </w:r>
      <w:r w:rsidRPr="001E67EA">
        <w:rPr>
          <w:bCs/>
          <w:sz w:val="22"/>
          <w:szCs w:val="22"/>
          <w:bdr w:val="none" w:sz="0" w:space="0" w:color="auto" w:frame="1"/>
          <w:lang w:val="es-SV" w:eastAsia="es-SV"/>
        </w:rPr>
        <w:t xml:space="preserve"> 7.5 días hábiles.</w:t>
      </w:r>
      <w:r w:rsidRPr="001E67EA">
        <w:rPr>
          <w:sz w:val="22"/>
          <w:szCs w:val="22"/>
        </w:rPr>
        <w:t xml:space="preserve"> </w:t>
      </w:r>
      <w:r w:rsidR="001E67EA" w:rsidRPr="001E67EA">
        <w:rPr>
          <w:sz w:val="22"/>
          <w:szCs w:val="22"/>
        </w:rPr>
        <w:t xml:space="preserve">De </w:t>
      </w:r>
      <w:r w:rsidR="001E67EA">
        <w:rPr>
          <w:sz w:val="22"/>
          <w:szCs w:val="22"/>
        </w:rPr>
        <w:t xml:space="preserve">septiembre a diciembre </w:t>
      </w:r>
      <w:r w:rsidR="001E67EA" w:rsidRPr="001E67EA">
        <w:rPr>
          <w:sz w:val="22"/>
          <w:szCs w:val="22"/>
        </w:rPr>
        <w:t xml:space="preserve">2007 se atendieron 75, </w:t>
      </w:r>
      <w:r w:rsidR="001E67EA">
        <w:rPr>
          <w:sz w:val="22"/>
          <w:szCs w:val="22"/>
        </w:rPr>
        <w:t>y de enero-</w:t>
      </w:r>
      <w:r w:rsidR="001E67EA" w:rsidRPr="001E67EA">
        <w:rPr>
          <w:sz w:val="22"/>
          <w:szCs w:val="22"/>
        </w:rPr>
        <w:t>agosto 2018, un total de 55.</w:t>
      </w:r>
      <w:r w:rsidR="001E67EA" w:rsidRPr="001E67EA">
        <w:rPr>
          <w:bCs/>
          <w:sz w:val="22"/>
          <w:szCs w:val="22"/>
          <w:bdr w:val="none" w:sz="0" w:space="0" w:color="auto" w:frame="1"/>
          <w:lang w:val="es-SV" w:eastAsia="es-SV"/>
        </w:rPr>
        <w:t xml:space="preserve"> </w:t>
      </w:r>
    </w:p>
    <w:p w:rsidR="0001400C" w:rsidRPr="00BD7787" w:rsidRDefault="0001400C" w:rsidP="0001400C">
      <w:pPr>
        <w:pStyle w:val="NormalWeb"/>
        <w:shd w:val="clear" w:color="auto" w:fill="FFFFFF"/>
        <w:spacing w:after="300" w:line="276" w:lineRule="auto"/>
        <w:jc w:val="both"/>
        <w:textAlignment w:val="baseline"/>
        <w:rPr>
          <w:b/>
          <w:bCs/>
          <w:sz w:val="22"/>
          <w:szCs w:val="22"/>
          <w:bdr w:val="none" w:sz="0" w:space="0" w:color="auto" w:frame="1"/>
          <w:lang w:val="es-SV" w:eastAsia="es-SV"/>
        </w:rPr>
      </w:pPr>
      <w:r w:rsidRPr="00BD7787">
        <w:rPr>
          <w:b/>
          <w:bCs/>
          <w:sz w:val="22"/>
          <w:szCs w:val="22"/>
          <w:bdr w:val="none" w:sz="0" w:space="0" w:color="auto" w:frame="1"/>
          <w:lang w:val="es-SV" w:eastAsia="es-SV"/>
        </w:rPr>
        <w:t>Presupuesto limitado</w:t>
      </w:r>
    </w:p>
    <w:p w:rsidR="0001400C" w:rsidRPr="0001400C" w:rsidRDefault="0001400C" w:rsidP="0001400C">
      <w:pPr>
        <w:pStyle w:val="NormalWeb"/>
        <w:shd w:val="clear" w:color="auto" w:fill="FFFFFF"/>
        <w:spacing w:after="300" w:line="276" w:lineRule="auto"/>
        <w:jc w:val="both"/>
        <w:textAlignment w:val="baseline"/>
        <w:rPr>
          <w:bCs/>
          <w:sz w:val="22"/>
          <w:szCs w:val="22"/>
          <w:bdr w:val="none" w:sz="0" w:space="0" w:color="auto" w:frame="1"/>
          <w:lang w:val="es-SV" w:eastAsia="es-SV"/>
        </w:rPr>
      </w:pPr>
      <w:r w:rsidRPr="0001400C">
        <w:rPr>
          <w:bCs/>
          <w:sz w:val="22"/>
          <w:szCs w:val="22"/>
          <w:bdr w:val="none" w:sz="0" w:space="0" w:color="auto" w:frame="1"/>
          <w:lang w:val="es-SV" w:eastAsia="es-SV"/>
        </w:rPr>
        <w:t xml:space="preserve">Uno de los temas </w:t>
      </w:r>
      <w:r>
        <w:rPr>
          <w:bCs/>
          <w:sz w:val="22"/>
          <w:szCs w:val="22"/>
          <w:bdr w:val="none" w:sz="0" w:space="0" w:color="auto" w:frame="1"/>
          <w:lang w:val="es-SV" w:eastAsia="es-SV"/>
        </w:rPr>
        <w:t>abordados en la</w:t>
      </w:r>
      <w:r w:rsidRPr="0001400C">
        <w:rPr>
          <w:bCs/>
          <w:sz w:val="22"/>
          <w:szCs w:val="22"/>
          <w:bdr w:val="none" w:sz="0" w:space="0" w:color="auto" w:frame="1"/>
          <w:lang w:val="es-SV" w:eastAsia="es-SV"/>
        </w:rPr>
        <w:t xml:space="preserve"> rendición de cuentas, </w:t>
      </w:r>
      <w:r>
        <w:rPr>
          <w:bCs/>
          <w:sz w:val="22"/>
          <w:szCs w:val="22"/>
          <w:bdr w:val="none" w:sz="0" w:space="0" w:color="auto" w:frame="1"/>
          <w:lang w:val="es-SV" w:eastAsia="es-SV"/>
        </w:rPr>
        <w:t>fue</w:t>
      </w:r>
      <w:r w:rsidRPr="0001400C">
        <w:rPr>
          <w:bCs/>
          <w:sz w:val="22"/>
          <w:szCs w:val="22"/>
          <w:bdr w:val="none" w:sz="0" w:space="0" w:color="auto" w:frame="1"/>
          <w:lang w:val="es-SV" w:eastAsia="es-SV"/>
        </w:rPr>
        <w:t xml:space="preserve"> el presupuesto con el que </w:t>
      </w:r>
      <w:r>
        <w:rPr>
          <w:bCs/>
          <w:sz w:val="22"/>
          <w:szCs w:val="22"/>
          <w:bdr w:val="none" w:sz="0" w:space="0" w:color="auto" w:frame="1"/>
          <w:lang w:val="es-SV" w:eastAsia="es-SV"/>
        </w:rPr>
        <w:t>el IAIP ha venido</w:t>
      </w:r>
      <w:r w:rsidRPr="0001400C">
        <w:rPr>
          <w:bCs/>
          <w:sz w:val="22"/>
          <w:szCs w:val="22"/>
          <w:bdr w:val="none" w:sz="0" w:space="0" w:color="auto" w:frame="1"/>
          <w:lang w:val="es-SV" w:eastAsia="es-SV"/>
        </w:rPr>
        <w:t xml:space="preserve"> trabajando. Para el año 2017, el IAIP contó con una asignación de $1, 395,870 dólares. Y para el presente ejercicio fiscal, la cantidad fue de 1,399.565</w:t>
      </w:r>
      <w:r>
        <w:rPr>
          <w:bCs/>
          <w:sz w:val="22"/>
          <w:szCs w:val="22"/>
          <w:bdr w:val="none" w:sz="0" w:space="0" w:color="auto" w:frame="1"/>
          <w:lang w:val="es-SV" w:eastAsia="es-SV"/>
        </w:rPr>
        <w:t xml:space="preserve">. </w:t>
      </w:r>
      <w:r w:rsidRPr="0001400C">
        <w:rPr>
          <w:bCs/>
          <w:sz w:val="22"/>
          <w:szCs w:val="22"/>
          <w:bdr w:val="none" w:sz="0" w:space="0" w:color="auto" w:frame="1"/>
          <w:lang w:val="es-SV" w:eastAsia="es-SV"/>
        </w:rPr>
        <w:t>El aumento que se percibe para el presente año, obedece al incremento del salario mínimo de los trabajadores.</w:t>
      </w:r>
    </w:p>
    <w:p w:rsidR="0001400C" w:rsidRPr="0001400C" w:rsidRDefault="0001400C" w:rsidP="0001400C">
      <w:pPr>
        <w:pStyle w:val="NormalWeb"/>
        <w:shd w:val="clear" w:color="auto" w:fill="FFFFFF"/>
        <w:spacing w:after="300" w:line="276" w:lineRule="auto"/>
        <w:jc w:val="both"/>
        <w:textAlignment w:val="baseline"/>
        <w:rPr>
          <w:bCs/>
          <w:sz w:val="22"/>
          <w:szCs w:val="22"/>
          <w:bdr w:val="none" w:sz="0" w:space="0" w:color="auto" w:frame="1"/>
          <w:lang w:val="es-SV" w:eastAsia="es-SV"/>
        </w:rPr>
      </w:pPr>
      <w:r w:rsidRPr="0001400C">
        <w:rPr>
          <w:bCs/>
          <w:sz w:val="22"/>
          <w:szCs w:val="22"/>
          <w:bdr w:val="none" w:sz="0" w:space="0" w:color="auto" w:frame="1"/>
          <w:lang w:val="es-SV" w:eastAsia="es-SV"/>
        </w:rPr>
        <w:lastRenderedPageBreak/>
        <w:t>Desde sus inicios, el IAIP externó la necesidad de contar con un presupuesto que le permitiera dar cumplimiento a todas las funciones y atribuciones que por ley le corresponden.</w:t>
      </w:r>
    </w:p>
    <w:p w:rsidR="0001400C" w:rsidRPr="0001400C" w:rsidRDefault="0001400C" w:rsidP="0001400C">
      <w:pPr>
        <w:pStyle w:val="NormalWeb"/>
        <w:shd w:val="clear" w:color="auto" w:fill="FFFFFF"/>
        <w:spacing w:after="300" w:line="276" w:lineRule="auto"/>
        <w:jc w:val="both"/>
        <w:textAlignment w:val="baseline"/>
        <w:rPr>
          <w:bCs/>
          <w:sz w:val="22"/>
          <w:szCs w:val="22"/>
          <w:bdr w:val="none" w:sz="0" w:space="0" w:color="auto" w:frame="1"/>
          <w:lang w:val="es-SV" w:eastAsia="es-SV"/>
        </w:rPr>
      </w:pPr>
      <w:r w:rsidRPr="0001400C">
        <w:rPr>
          <w:bCs/>
          <w:sz w:val="22"/>
          <w:szCs w:val="22"/>
          <w:bdr w:val="none" w:sz="0" w:space="0" w:color="auto" w:frame="1"/>
          <w:lang w:val="es-SV" w:eastAsia="es-SV"/>
        </w:rPr>
        <w:t xml:space="preserve">El limitado presupuesto con el que se ha trabajado, no ha sido impedimento para cumplir con lo que establece la ley. Sin embargo, el trabajo en las diferentes unidades que conforman la institución se ha visto incrementado, entre otras cosas, porque cada vez más las personas están conociendo el derecho de acceso a la información pública y demandan conocer cómo se administra la cosa pública. Esto es muy bueno porque es justamente lo que se promueve desde el órgano garante. </w:t>
      </w:r>
    </w:p>
    <w:p w:rsidR="0001400C" w:rsidRDefault="0001400C" w:rsidP="0001400C">
      <w:pPr>
        <w:pStyle w:val="NormalWeb"/>
        <w:shd w:val="clear" w:color="auto" w:fill="FFFFFF"/>
        <w:spacing w:after="300" w:line="276" w:lineRule="auto"/>
        <w:jc w:val="both"/>
        <w:textAlignment w:val="baseline"/>
        <w:rPr>
          <w:bCs/>
          <w:sz w:val="22"/>
          <w:szCs w:val="22"/>
          <w:bdr w:val="none" w:sz="0" w:space="0" w:color="auto" w:frame="1"/>
          <w:lang w:val="es-SV" w:eastAsia="es-SV"/>
        </w:rPr>
      </w:pPr>
      <w:r w:rsidRPr="0001400C">
        <w:rPr>
          <w:bCs/>
          <w:sz w:val="22"/>
          <w:szCs w:val="22"/>
          <w:bdr w:val="none" w:sz="0" w:space="0" w:color="auto" w:frame="1"/>
          <w:lang w:val="es-SV" w:eastAsia="es-SV"/>
        </w:rPr>
        <w:t xml:space="preserve">Sin embargo, </w:t>
      </w:r>
      <w:r>
        <w:rPr>
          <w:bCs/>
          <w:sz w:val="22"/>
          <w:szCs w:val="22"/>
          <w:bdr w:val="none" w:sz="0" w:space="0" w:color="auto" w:frame="1"/>
          <w:lang w:val="es-SV" w:eastAsia="es-SV"/>
        </w:rPr>
        <w:t>el Instituto siempre vio</w:t>
      </w:r>
      <w:r w:rsidRPr="0001400C">
        <w:rPr>
          <w:bCs/>
          <w:sz w:val="22"/>
          <w:szCs w:val="22"/>
          <w:bdr w:val="none" w:sz="0" w:space="0" w:color="auto" w:frame="1"/>
          <w:lang w:val="es-SV" w:eastAsia="es-SV"/>
        </w:rPr>
        <w:t xml:space="preserve"> la necesidad de contar con un refuerzo presupuestario que </w:t>
      </w:r>
      <w:r>
        <w:rPr>
          <w:bCs/>
          <w:sz w:val="22"/>
          <w:szCs w:val="22"/>
          <w:bdr w:val="none" w:sz="0" w:space="0" w:color="auto" w:frame="1"/>
          <w:lang w:val="es-SV" w:eastAsia="es-SV"/>
        </w:rPr>
        <w:t xml:space="preserve">permitiera </w:t>
      </w:r>
      <w:r w:rsidRPr="0001400C">
        <w:rPr>
          <w:bCs/>
          <w:sz w:val="22"/>
          <w:szCs w:val="22"/>
          <w:bdr w:val="none" w:sz="0" w:space="0" w:color="auto" w:frame="1"/>
          <w:lang w:val="es-SV" w:eastAsia="es-SV"/>
        </w:rPr>
        <w:t xml:space="preserve">tener unidades operativas fortalecidas, dotadas del personal necesario que </w:t>
      </w:r>
      <w:r>
        <w:rPr>
          <w:bCs/>
          <w:sz w:val="22"/>
          <w:szCs w:val="22"/>
          <w:bdr w:val="none" w:sz="0" w:space="0" w:color="auto" w:frame="1"/>
          <w:lang w:val="es-SV" w:eastAsia="es-SV"/>
        </w:rPr>
        <w:t xml:space="preserve">contribuya a agilizar </w:t>
      </w:r>
      <w:r w:rsidRPr="0001400C">
        <w:rPr>
          <w:bCs/>
          <w:sz w:val="22"/>
          <w:szCs w:val="22"/>
          <w:bdr w:val="none" w:sz="0" w:space="0" w:color="auto" w:frame="1"/>
          <w:lang w:val="es-SV" w:eastAsia="es-SV"/>
        </w:rPr>
        <w:t>los procesos que se conocen en el IAIP.</w:t>
      </w:r>
      <w:r w:rsidR="00C40737">
        <w:rPr>
          <w:bCs/>
          <w:sz w:val="22"/>
          <w:szCs w:val="22"/>
          <w:bdr w:val="none" w:sz="0" w:space="0" w:color="auto" w:frame="1"/>
          <w:lang w:val="es-SV" w:eastAsia="es-SV"/>
        </w:rPr>
        <w:t xml:space="preserve"> Es así, que luego de diversas gestiones, el Ministerio de Hacienda, ha brindado un incremento presupuesto para el ejercicio fiscal 2019, de 500 mil dólares. Un monto que esperamos sea ratificado por la Asamblea Legislativa.</w:t>
      </w:r>
      <w:bookmarkStart w:id="0" w:name="_GoBack"/>
      <w:bookmarkEnd w:id="0"/>
    </w:p>
    <w:p w:rsidR="00C40737" w:rsidRPr="0001400C" w:rsidRDefault="00C40737" w:rsidP="0001400C">
      <w:pPr>
        <w:pStyle w:val="NormalWeb"/>
        <w:shd w:val="clear" w:color="auto" w:fill="FFFFFF"/>
        <w:spacing w:after="300" w:line="276" w:lineRule="auto"/>
        <w:jc w:val="both"/>
        <w:textAlignment w:val="baseline"/>
        <w:rPr>
          <w:bCs/>
          <w:sz w:val="22"/>
          <w:szCs w:val="22"/>
          <w:bdr w:val="none" w:sz="0" w:space="0" w:color="auto" w:frame="1"/>
          <w:lang w:val="es-SV" w:eastAsia="es-SV"/>
        </w:rPr>
      </w:pPr>
    </w:p>
    <w:p w:rsidR="0001400C" w:rsidRDefault="0001400C" w:rsidP="00AE3262">
      <w:pPr>
        <w:pStyle w:val="NormalWeb"/>
        <w:shd w:val="clear" w:color="auto" w:fill="FFFFFF"/>
        <w:spacing w:after="300" w:line="276" w:lineRule="auto"/>
        <w:jc w:val="both"/>
        <w:textAlignment w:val="baseline"/>
        <w:rPr>
          <w:bCs/>
          <w:bdr w:val="none" w:sz="0" w:space="0" w:color="auto" w:frame="1"/>
          <w:lang w:val="es-SV" w:eastAsia="es-SV"/>
        </w:rPr>
      </w:pPr>
    </w:p>
    <w:sectPr w:rsidR="0001400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CB7"/>
    <w:rsid w:val="0001400C"/>
    <w:rsid w:val="000230D5"/>
    <w:rsid w:val="0005178D"/>
    <w:rsid w:val="000B027A"/>
    <w:rsid w:val="000E18F7"/>
    <w:rsid w:val="00160A8D"/>
    <w:rsid w:val="001736A3"/>
    <w:rsid w:val="001E67EA"/>
    <w:rsid w:val="001F7B9E"/>
    <w:rsid w:val="001F7F12"/>
    <w:rsid w:val="002C0029"/>
    <w:rsid w:val="002E44E3"/>
    <w:rsid w:val="00342B20"/>
    <w:rsid w:val="003579D5"/>
    <w:rsid w:val="00370CB7"/>
    <w:rsid w:val="00410288"/>
    <w:rsid w:val="00457F44"/>
    <w:rsid w:val="0046098D"/>
    <w:rsid w:val="004A1B0B"/>
    <w:rsid w:val="004A7EDD"/>
    <w:rsid w:val="004F5695"/>
    <w:rsid w:val="00506B33"/>
    <w:rsid w:val="005666B2"/>
    <w:rsid w:val="006D1B74"/>
    <w:rsid w:val="007355F6"/>
    <w:rsid w:val="008777E4"/>
    <w:rsid w:val="008954CB"/>
    <w:rsid w:val="00961910"/>
    <w:rsid w:val="00992711"/>
    <w:rsid w:val="009F5439"/>
    <w:rsid w:val="00A51A39"/>
    <w:rsid w:val="00A6253E"/>
    <w:rsid w:val="00A66FEA"/>
    <w:rsid w:val="00AE3262"/>
    <w:rsid w:val="00B03EAA"/>
    <w:rsid w:val="00B62A9A"/>
    <w:rsid w:val="00B712F4"/>
    <w:rsid w:val="00BD7787"/>
    <w:rsid w:val="00C33804"/>
    <w:rsid w:val="00C343AC"/>
    <w:rsid w:val="00C40737"/>
    <w:rsid w:val="00C54F07"/>
    <w:rsid w:val="00C66F65"/>
    <w:rsid w:val="00C805DC"/>
    <w:rsid w:val="00C92889"/>
    <w:rsid w:val="00CC02E6"/>
    <w:rsid w:val="00D917B9"/>
    <w:rsid w:val="00DA71D6"/>
    <w:rsid w:val="00DB7B1B"/>
    <w:rsid w:val="00E10C26"/>
    <w:rsid w:val="00E21755"/>
    <w:rsid w:val="00F80647"/>
    <w:rsid w:val="00FE541A"/>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9462B1-6911-4910-A246-FBB7140C8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0CB7"/>
  </w:style>
  <w:style w:type="paragraph" w:styleId="Ttulo1">
    <w:name w:val="heading 1"/>
    <w:basedOn w:val="Normal"/>
    <w:next w:val="Normal"/>
    <w:link w:val="Ttulo1Car"/>
    <w:rsid w:val="0005178D"/>
    <w:pPr>
      <w:widowControl w:val="0"/>
      <w:pBdr>
        <w:top w:val="nil"/>
        <w:left w:val="nil"/>
        <w:bottom w:val="nil"/>
        <w:right w:val="nil"/>
        <w:between w:val="nil"/>
      </w:pBdr>
      <w:spacing w:line="240" w:lineRule="auto"/>
      <w:contextualSpacing/>
      <w:jc w:val="center"/>
      <w:outlineLvl w:val="0"/>
    </w:pPr>
    <w:rPr>
      <w:rFonts w:eastAsia="Times New Roman" w:cs="Times New Roman"/>
      <w:color w:val="4472C4" w:themeColor="accent5"/>
      <w:sz w:val="44"/>
      <w:szCs w:val="32"/>
      <w:lang w:eastAsia="es-SV"/>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370CB7"/>
    <w:pPr>
      <w:spacing w:after="0" w:line="240" w:lineRule="auto"/>
    </w:pPr>
    <w:rPr>
      <w:rFonts w:ascii="Times New Roman" w:eastAsia="Times New Roman" w:hAnsi="Times New Roman" w:cs="Times New Roman"/>
      <w:sz w:val="24"/>
      <w:szCs w:val="24"/>
      <w:lang w:val="es-ES" w:eastAsia="es-ES"/>
    </w:rPr>
  </w:style>
  <w:style w:type="table" w:styleId="Tabladecuadrcula5oscura-nfasis1">
    <w:name w:val="Grid Table 5 Dark Accent 1"/>
    <w:basedOn w:val="Tablanormal"/>
    <w:uiPriority w:val="50"/>
    <w:rsid w:val="00C9288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aconcuadrcula">
    <w:name w:val="Table Grid"/>
    <w:basedOn w:val="Tablanormal"/>
    <w:uiPriority w:val="39"/>
    <w:rsid w:val="000230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lista4-nfasis1">
    <w:name w:val="List Table 4 Accent 1"/>
    <w:basedOn w:val="Tablanormal"/>
    <w:uiPriority w:val="49"/>
    <w:rsid w:val="009F543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30">
    <w:name w:val="30"/>
    <w:basedOn w:val="Tablanormal"/>
    <w:rsid w:val="00B62A9A"/>
    <w:pPr>
      <w:spacing w:after="0" w:line="276" w:lineRule="auto"/>
      <w:contextualSpacing/>
    </w:pPr>
    <w:rPr>
      <w:rFonts w:ascii="Arial" w:eastAsia="Arial" w:hAnsi="Arial" w:cs="Arial"/>
      <w:lang w:val="es"/>
    </w:rPr>
    <w:tblPr>
      <w:tblStyleRowBandSize w:val="1"/>
      <w:tblStyleColBandSize w:val="1"/>
      <w:tblCellMar>
        <w:top w:w="100" w:type="dxa"/>
        <w:left w:w="100" w:type="dxa"/>
        <w:bottom w:w="100" w:type="dxa"/>
        <w:right w:w="100" w:type="dxa"/>
      </w:tblCellMar>
    </w:tblPr>
  </w:style>
  <w:style w:type="table" w:styleId="Tabladecuadrcula5oscura-nfasis5">
    <w:name w:val="Grid Table 5 Dark Accent 5"/>
    <w:basedOn w:val="Tablanormal"/>
    <w:uiPriority w:val="50"/>
    <w:rsid w:val="00B62A9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31">
    <w:name w:val="31"/>
    <w:basedOn w:val="Tablanormal"/>
    <w:rsid w:val="001736A3"/>
    <w:pPr>
      <w:spacing w:after="0" w:line="276" w:lineRule="auto"/>
      <w:contextualSpacing/>
    </w:pPr>
    <w:rPr>
      <w:rFonts w:ascii="Arial" w:eastAsia="Arial" w:hAnsi="Arial" w:cs="Arial"/>
      <w:lang w:val="es"/>
    </w:rPr>
    <w:tblPr>
      <w:tblStyleRowBandSize w:val="1"/>
      <w:tblStyleColBandSize w:val="1"/>
      <w:tblCellMar>
        <w:top w:w="100" w:type="dxa"/>
        <w:left w:w="100" w:type="dxa"/>
        <w:bottom w:w="100" w:type="dxa"/>
        <w:right w:w="100" w:type="dxa"/>
      </w:tblCellMar>
    </w:tblPr>
  </w:style>
  <w:style w:type="character" w:customStyle="1" w:styleId="Ttulo1Car">
    <w:name w:val="Título 1 Car"/>
    <w:basedOn w:val="Fuentedeprrafopredeter"/>
    <w:link w:val="Ttulo1"/>
    <w:rsid w:val="0005178D"/>
    <w:rPr>
      <w:rFonts w:eastAsia="Times New Roman" w:cs="Times New Roman"/>
      <w:color w:val="4472C4" w:themeColor="accent5"/>
      <w:sz w:val="44"/>
      <w:szCs w:val="32"/>
      <w:lang w:eastAsia="es-S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DC3FF-202C-4D94-BE42-60DF238C7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1866</Words>
  <Characters>10267</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Equipo_COM2</dc:creator>
  <cp:keywords/>
  <dc:description/>
  <cp:lastModifiedBy>Carlos Ortega</cp:lastModifiedBy>
  <cp:revision>2</cp:revision>
  <dcterms:created xsi:type="dcterms:W3CDTF">2018-09-27T03:04:00Z</dcterms:created>
  <dcterms:modified xsi:type="dcterms:W3CDTF">2018-09-27T03:04:00Z</dcterms:modified>
</cp:coreProperties>
</file>