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115"/>
        <w:tblW w:w="101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4"/>
        <w:gridCol w:w="1276"/>
        <w:gridCol w:w="1276"/>
        <w:gridCol w:w="1701"/>
        <w:gridCol w:w="1701"/>
        <w:gridCol w:w="850"/>
        <w:gridCol w:w="851"/>
        <w:gridCol w:w="1276"/>
      </w:tblGrid>
      <w:tr w:rsidR="00F84B4D" w:rsidRPr="007C2A1E" w:rsidTr="008F7975">
        <w:trPr>
          <w:trHeight w:val="983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bookmarkStart w:id="0" w:name="_GoBack"/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Correlativo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 xml:space="preserve">Unidad </w:t>
            </w:r>
            <w:r w:rsidRPr="00CC0BB8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20"/>
              </w:rPr>
              <w:t>Administrativa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Responsable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Detalle de información o documento a reservar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Justificación o fundamento de la Reserva (base legal)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Plazo hasta 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Tipo de Reserva (total o parcial)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  <w:szCs w:val="20"/>
              </w:rPr>
              <w:t>Fecha de clasificación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Adquisiciones y contrataciones Institucional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Jefa/Director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de procesos de contratación, licitación, contratación directa, libre gestión, consultoría, y  las adjudicaciones.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h.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54 ley de adquisiciones y contrataciones de la administración pública  y Art. 43 del Reglamento de Adquisiciones y Contrataciones de la Administración Pública.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4510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Adquisiciones y contrataciones Institucional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Jefa/Director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Las ofertas  mientras se encuentre abierto el  proceso correspondiente.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h.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54 Ley de Adquisiciones y Contrataciones de la Administración Pública, y Art. 43  del Reglamento de Adquisiciones y Contrataciones de la Administración Pública.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Puede ser solicitada por alguna empresa para conocer la información y prepararse para un futuro proceso de contratación.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5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Adquisiciones y contrataciones Institucional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Jefa/Director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 de Tramite de Recursos hasta que en firme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e., h.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Puede perjudicar al Ministerio si conocen los elementos del recurso antes de quedar en firme.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4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Adquisiciones y contrataciones Institucional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Jefa/Director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 de arbitraje o arreglos directos  hasta que quede en firme el proceso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e., h.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2 LACAP.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Es un proceso legal interno que debe ser informado únicamente a las personas que está participando como partes dentro del proceso o diligencias.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2225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Auditoría Interna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 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Informes preliminares y borradores de informe, así mismo las Auditorias en proceso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e., f.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Por tratarse de auditorías no concluidas y que la Ley de la Corte de Cuentas nos obliga a mantener reserva hasta que se hayan obtenido los comentarios de los Auditados y se han vertido en el informe final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 años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603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6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Auditoría Interna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 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Informes finales, que incluyan responsabilidad patrimonial o que exista presunción de posibles ilícitos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e., f. LAIP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No deberá hacerse público debido a que los informes finales son enviados a la Corte de Cuentas y si corresponde a la Fiscalía General de la República y mientras estén en investigación y no haya una sentencia de la Cámara de la Corte de Cuentas o de un Juez; porque podría entorpecer la investigación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 años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7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Auditoría Interna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 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Papeles de trabajo resultantes de las auditorias ( que corresponden a la evidencias obtenidas en el desarrollo del examen)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Art. 19 literal e., f. LAIP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Los papeles de Trabajo son propiedad de la Auditoria y solo pueden ser entregados a solicitud</w:t>
            </w:r>
            <w:r w:rsidR="008F7975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de una Autoridad competente, (</w:t>
            </w: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Fiscalía General de la República o un juez)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 años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Administración y logística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Bitácora, ruta de vehículos de misiones oficiales a realizar  por los titulares del Ministerio  y la comitiva que le acompañan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d. Ley de Acceso a la Información Pública.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72 horas de </w:t>
            </w:r>
            <w:r w:rsidRPr="00AE0E10">
              <w:rPr>
                <w:rFonts w:ascii="Times New Roman" w:hAnsi="Times New Roman" w:cs="Times New Roman"/>
                <w:i/>
                <w:color w:val="000000"/>
                <w:sz w:val="16"/>
                <w:szCs w:val="20"/>
              </w:rPr>
              <w:t xml:space="preserve">finalizada </w:t>
            </w: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la misión oficial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3627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9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Espectáculos Públicos, Radio y Televisión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Contratos de empresas ( promotores de espectáculos públicos con participación de artistas internacionales) con artistas, resguardado en el expediente del área de espectáculos Internacionales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lastRenderedPageBreak/>
              <w:t>Art. Art. 19 literal h.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En virtud que las relaciones contractuales establecidas entre personas naturales o jurídicas  dedicadas a la promoción de espectáculos públicos, y los artistas internacionales son contratos privados y únicamente son presentados en esta Dirección como requisito para la Autorización-Clasificación de contenido de espectáculos públicos con participación de artistas internacionales de </w:t>
            </w: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conformidad con el artículo 62-A de la Ley de Migración, y de ser puestos al alcance como información oficiosa podría llegar a manos de otros/as promotores/as de espectáculos públicos, y por tanto puede generar una ventaja indebida para éstos en perjuicio de un tercero.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1 año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10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Espectáculos Públicos, Radio y Televisión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Nómina de personal de supervisores de espectáculos públicos.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d. LAIP.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Por la naturaleza del trabajo que desempeñan y las decisiones que toman los/as técnicos/as en labores de supervisión de espectáculos públicos que implica trabajo nocturno y de madrugada en un ambiente donde existe la venta y distribución de bebidas alcohólicas y demás sustancias que generan adicción y trastornos al comportamiento humano, lo que implica un factor de riesgo para la seguridad del personal de supervisores de espectáculos públicos.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 año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11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Espectáculos Públicos, Radio y Televisión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de proceso de autorización – clasificación  de contenido: de espectáculos públicos programas de televisión de libre recepción, cintas cinematográficas, evaluaciones de contenido de piezas publicitarias, monitoreo de programas de radio  y televisión e informes de supervisión de espectáculos públicos.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e. LAIP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Por tratarse de documentos en  procesos que contienen opiniones, recomendaciones e informes que son parte de un proceso deliberativo de servidoras y servidores en tanto no sea adoptada una decisión definitiva.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F84B4D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12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Recursos Humanos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5C79BE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Información desclaficada (ver Acuerdo Número Noventa y Cuatro de fecha 21 de septiembre de 2018</w:t>
            </w:r>
            <w:r w:rsid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5C79BE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5C79BE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4B4D" w:rsidRPr="007C2A1E" w:rsidRDefault="005C79BE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F84B4D" w:rsidRPr="007C2A1E" w:rsidRDefault="00F84B4D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84B4D" w:rsidRPr="007C2A1E" w:rsidRDefault="005C79BE" w:rsidP="008F79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13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Recursos Humanos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Información desclasificada (ver Acuerdo Número Noventa y Cuatro de fecha 21 de septiembre de 2018)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14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Recursos Humanos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516162" w:rsidRDefault="00516162" w:rsidP="00516162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Información desclasificada (ver Acuerdo Número Noventa y Cuatro de fecha 21 de septiembre de 2018)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Recursos Humanos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de procesos de contratación, mientras se encuentre activo el concurso de plazas.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Artículo 19 literal e. LAIP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16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Infraestructura y Mantenimiento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Todos los planos de construcción, infraestructura  y distribución de espacios del Ministerio y todas sus dependencias.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Artículo 19 literal d. LAIP.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El conocimiento de cómo está construido en su estructura principal e instalaciones básicas las edificaciones, se vuelve vulnerable en el tema de la seguridad estructural ante un posible atentado, lo que podría poner en riesgos la vida de Titulares, trabajadores y usuarios.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17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Operaciones Dirección General del Cuerpo de Bomberos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Informes requeridos por instancias Judiciales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f., g. LAIP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18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 Jurídica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Administrativos y Judiciales que promueve el Ministerio de Gobernación y Desarrollo Territorial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e., g. LAIP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Jurídica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de procesos Administrativos Sancionadores, en cumplimiento a la LACAP.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19 literal e., g. LAIP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516162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Jurídica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36564E" w:rsidRDefault="0036564E" w:rsidP="003656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64E" w:rsidRPr="0036564E" w:rsidRDefault="0036564E" w:rsidP="003656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64E" w:rsidRDefault="0036564E" w:rsidP="003656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16162" w:rsidRDefault="00516162" w:rsidP="00365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64E" w:rsidRPr="0036564E" w:rsidRDefault="0036564E" w:rsidP="0036564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Expedientes de procesos laborales, tramitados ante la Comisión de Servicio Civil, Tribunal de Servicio Civil, Tribunales ordinarios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19 literal e., g. LAIP.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6162" w:rsidRPr="007C2A1E" w:rsidRDefault="00516162" w:rsidP="005161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Jurídica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516162" w:rsidRDefault="0036564E" w:rsidP="0036564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Información desclasificada (ver Acuerdo Número Noventa y </w:t>
            </w:r>
            <w:r w:rsidR="007E3DB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cuatro </w:t>
            </w: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de fecha 21 de septiembre de 2018)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36564E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Seguridad Institucional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Roles  de seguridad y punto de vigilancia, ubicación de cámaras.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d.  LAIP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182"/>
        </w:trPr>
        <w:tc>
          <w:tcPr>
            <w:tcW w:w="1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Unidad de Seguridad Institucional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Plan de Seguridad Institucional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d.  LAIP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198"/>
        </w:trPr>
        <w:tc>
          <w:tcPr>
            <w:tcW w:w="12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24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General de Correos.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Gerente de operaciones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Envíos de correspondencia procesada, y rutas de encaminamiento postal.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19 literal d. y g. LAIP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34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Gerente Administrativa Financiera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Procesos de pagos, cheques en tránsito, saldos en cuenta (bancarias) valores que se resguardan  en caja de seguridad en la Gerencia, Fondo de caja chica, chequeras de cuentas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19 literal f. y h. 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458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Gerente de Desarrollo Tecnológico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Cantidad de servidores activos, inventarios de IP y los sistemas de seguridad que posee esta Dirección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h.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169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Gerente de Relaciones Nacionales e Internacionales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Proceso de solicitud de fondos, cuestionarios para ser llenados por las distintas áreas de esta Dirección, ante la UPU y UPAEP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US"/>
              </w:rPr>
              <w:t>Art. Literal c. y h.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Gerente de Inspectoría  General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Casos en vías de investigación por delitos postales, casos de peculados, indemnizaciones de cliente, y otros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e.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15/02//2016</w:t>
            </w:r>
          </w:p>
        </w:tc>
      </w:tr>
      <w:tr w:rsidR="0036564E" w:rsidRPr="007C2A1E" w:rsidTr="008F7975">
        <w:trPr>
          <w:trHeight w:val="166"/>
        </w:trPr>
        <w:tc>
          <w:tcPr>
            <w:tcW w:w="12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Jefe de Unidad de Asistencia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Informes de auditoría en proceso de estudio tanto de la corte de cuentas como de la corte de cuentas ( juicio de cuentas), requerimientos de información de la Fiscalía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f.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Gerencia comercial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Expedientes de la cartera de clientes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Art. 19 literal  </w:t>
            </w:r>
            <w:r w:rsidRPr="007C2A1E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h.</w:t>
            </w: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Jurídicos en proceso de otorgamiento de Personalidad Jurídica, de reforma de estatutos, de Disolución y de Liquidación de Asociaciones y Fundaciones Sin Fines de Lucro, hasta su 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Expedientes Jurídicos en proceso de otorgamiento de autorización de funcionamiento legal a entidades extranjeras que deseen realizar actos en El Salvador y de las modificaciones de los estatutos de dichas entidades, hasta su </w:t>
            </w: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27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Expedientes Jurídicos en proceso de calificación de elección de miembros de </w:t>
            </w:r>
            <w:proofErr w:type="spellStart"/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Organos</w:t>
            </w:r>
            <w:proofErr w:type="spellEnd"/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de Administración en los que consten los nombramientos de sus representantes, dirigentes, administradores y nóminas de miembros de las Asociaciones y Fundaciones Sin fines de Lucro y de entidades extranjeras, hasta su 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200" w:firstLine="4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año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Dirección General del Registro de Asociaciones y Fundaciones sin Fines de Lucro </w:t>
            </w: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Jurídicos en proceso de calificación de Poderes, revocatorias, nombramientos y sustituciones de entidades nacionales o extranjeras, hasta su 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  Año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Expedientes Jurídicos en proceso de calificación de Convenios entre el Gobierno de El Salvador y Personas Jurídicas extranjeras sin </w:t>
            </w: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fines de lucro, hasta su 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Art. 19 literal </w:t>
            </w:r>
            <w:proofErr w:type="spellStart"/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eLAIP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1 año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30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Contables en proceso de legalización de libros u hojas de contabilidad, de órganos de administración, de miembros, así como su renovación, extravío o pérdida, además sistema contable formal o informal, hasta que quede firme su legalización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4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832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Contables en proceso de calificación de Estados Financieros, hasta su inscripción o resolución definitiva en su caso.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300" w:firstLine="6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Dirección General del Registro de Asociaciones y Fundaciones sin Fines de Lucro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Expedientes Jurídicos o Contables en trámites de Recursos interpuestos, hasta que quede en firme el proceso.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ind w:firstLineChars="100" w:firstLine="20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Art. 19 literal e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sz w:val="20"/>
                <w:szCs w:val="20"/>
              </w:rPr>
              <w:t>4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33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 xml:space="preserve">Dirección General del Registro de Asociaciones y Fundaciones </w:t>
            </w: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sin Fines de Lucro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Expedientes Jurídicos o Contables en trámites de Recursos interpuestos, hasta </w:t>
            </w:r>
            <w:r w:rsidRPr="007C2A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que quede en firme el proceso.</w:t>
            </w: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Art. 19 literal e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34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Protección, Prevención y Mitigación  de Desastres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</w:rPr>
              <w:t>Expedientes de procesos administrativos sancionatorios en cumplimiento de la Ley de Protección Civil, Prevención y Mitigación de Desastres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 e.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35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Desarrollo Tecnológico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El detalle y mapeo de la estructura de la RED de comunicaciones y datos del  MIGOBDT y sus dependencias, así como los respectivos diagramas e información técnica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Dirección de Desarrollo Tecnológico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Estructura, configuración y seguridad del Data Center del MIGOBDT y sus dependencias, , así como los respectivos diagramas e información técnica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37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lastRenderedPageBreak/>
              <w:t>Dirección de Desarrollo Tecnológico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lastRenderedPageBreak/>
              <w:t xml:space="preserve">Acceso a los sistemas de información y sus respectivos códigos fuentes, documentación técnica de los mismos que son </w:t>
            </w: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lastRenderedPageBreak/>
              <w:t>propiedad del MIGOBDT y sus dependencias.</w:t>
            </w: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Art. 19  literal d.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7 años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Total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38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Dirección de Desarrollo Tecnológico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Estructura y mapeo de la RED de Video vigilancia del MIGOBDT y sus dependencias, así como los respectivos diagramas e información técnica.</w:t>
            </w: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s-ES"/>
              </w:rPr>
            </w:pP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 d.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15/07/2016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Dirección de Desarrollo Tecnológico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Políticas de Seguridad interna de uso de equipos informáticos, red, navegación, video vigilancia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Art. 19 literal d. LAIP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Dirección de Centros de Gobierno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Planos y/o levantamiento topográfico de las instalaciones de Centro de Gobierno de Santa Ana, Cabañas, San Miguel, Usulután, La Paz, La Unión y Morazán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t>Art. 19 literal e, g y h de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t>En razón de que las instalaciones  albergan diferentes instituciones concentradas en una sola área que pueden arriesgar vidas de empleados y usuarios así como estrategias y funciones  estatales.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Dirección de Centros de Gobierno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 xml:space="preserve">Planes de seguridad, resguardo y vigilancia de los Centros de </w:t>
            </w: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lastRenderedPageBreak/>
              <w:t>Gobierno de Santa Ana, Cabañas, San Miguel, Usulután, La Paz, La Unión.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lastRenderedPageBreak/>
              <w:t>Art. 19 literal b, d, g y h de LAIP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t xml:space="preserve">En razón que los planes se enfocan en prestar </w:t>
            </w: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lastRenderedPageBreak/>
              <w:t>seguridad a estas instalaciones  las 24 horas  para garantizar su buen funcionamiento y brindar seguridad a la integridad física de empleados, usuarios de servicios públicos y bienes del estado concentrados en una sola área.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s-ES"/>
              </w:rPr>
              <w:lastRenderedPageBreak/>
              <w:t>7 años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15/02/2016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  <w:r w:rsidRPr="007C2A1E">
              <w:rPr>
                <w:rFonts w:ascii="Times New Roman" w:hAnsi="Times New Roman" w:cs="Times New Roman"/>
                <w:sz w:val="20"/>
                <w:szCs w:val="20"/>
                <w:lang w:val="es-ES"/>
              </w:rPr>
              <w:t>Unidad de Género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Director/a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516162" w:rsidRDefault="0036564E" w:rsidP="0036564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Información desclasificada (ver Acuerdo Número Noventa y </w:t>
            </w:r>
            <w:r w:rsidR="007E3DB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ocho </w:t>
            </w: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de fecha 21 de septiembre de 2018)</w:t>
            </w:r>
          </w:p>
          <w:p w:rsidR="0036564E" w:rsidRPr="007C2A1E" w:rsidRDefault="0036564E" w:rsidP="0036564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43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Gobernaciones Políticas Departamentales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19"/>
                <w:szCs w:val="19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19"/>
                <w:szCs w:val="19"/>
              </w:rPr>
              <w:t>Departamento de Gestión Administrativa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516162" w:rsidRDefault="0036564E" w:rsidP="0036564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Información desclasificada (ver Acuerdo Número Noventa y </w:t>
            </w:r>
            <w:r w:rsidR="007E3DB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ocho </w:t>
            </w: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de fecha 21 de septiembre de 2018)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Gobernador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516162" w:rsidRDefault="0036564E" w:rsidP="0036564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Información desclasificada (ver Acuerdo Número Noventa y </w:t>
            </w:r>
            <w:r w:rsidR="007E3DB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ocho </w:t>
            </w: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de fecha 21 de septiembre de 2018)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tr w:rsidR="0036564E" w:rsidRPr="007C2A1E" w:rsidTr="008F7975">
        <w:trPr>
          <w:trHeight w:val="208"/>
        </w:trPr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C2A1E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Secretaria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516162" w:rsidRDefault="0036564E" w:rsidP="0036564E">
            <w:pPr>
              <w:spacing w:after="0" w:line="240" w:lineRule="auto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Información desclasificada (ver Acuerdo Número Noventa y </w:t>
            </w:r>
            <w:r w:rsidR="007E3DB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ocho</w:t>
            </w:r>
            <w:r w:rsidRPr="00516162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de fecha 21 de septiembre de 2018)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564E" w:rsidRPr="007C2A1E" w:rsidRDefault="0036564E" w:rsidP="003656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No aplica </w:t>
            </w:r>
          </w:p>
        </w:tc>
      </w:tr>
      <w:bookmarkEnd w:id="0"/>
    </w:tbl>
    <w:p w:rsidR="00C23B7A" w:rsidRDefault="00C23B7A"/>
    <w:sectPr w:rsidR="00C23B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BDC" w:rsidRDefault="00B21BDC" w:rsidP="00447267">
      <w:pPr>
        <w:spacing w:after="0" w:line="240" w:lineRule="auto"/>
      </w:pPr>
      <w:r>
        <w:separator/>
      </w:r>
    </w:p>
  </w:endnote>
  <w:endnote w:type="continuationSeparator" w:id="0">
    <w:p w:rsidR="00B21BDC" w:rsidRDefault="00B21BDC" w:rsidP="00447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EBE" w:rsidRDefault="00E26EB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EBE" w:rsidRDefault="00E26EB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EBE" w:rsidRDefault="00E26E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BDC" w:rsidRDefault="00B21BDC" w:rsidP="00447267">
      <w:pPr>
        <w:spacing w:after="0" w:line="240" w:lineRule="auto"/>
      </w:pPr>
      <w:r>
        <w:separator/>
      </w:r>
    </w:p>
  </w:footnote>
  <w:footnote w:type="continuationSeparator" w:id="0">
    <w:p w:rsidR="00B21BDC" w:rsidRDefault="00B21BDC" w:rsidP="004472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EBE" w:rsidRDefault="00E26EB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534" w:type="pct"/>
      <w:tblInd w:w="849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718"/>
      <w:gridCol w:w="296"/>
    </w:tblGrid>
    <w:tr w:rsidR="008F7975" w:rsidTr="00E26EBE">
      <w:trPr>
        <w:trHeight w:val="1141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ítulo"/>
          <w:id w:val="77761602"/>
          <w:placeholder>
            <w:docPart w:val="1E175B711460496DA885203FD5147DD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924" w:type="dxa"/>
            </w:tcPr>
            <w:p w:rsidR="008F7975" w:rsidRDefault="00CF20F9" w:rsidP="00447267">
              <w:pPr>
                <w:pStyle w:val="Encabezado"/>
                <w:jc w:val="center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INDICE DE INFORMACIÓN RESERVADA MIGOBDT</w:t>
              </w:r>
            </w:p>
          </w:tc>
        </w:sdtContent>
      </w:sdt>
      <w:tc>
        <w:tcPr>
          <w:tcW w:w="298" w:type="dxa"/>
        </w:tcPr>
        <w:p w:rsidR="008F7975" w:rsidRDefault="008F7975">
          <w:pPr>
            <w:pStyle w:val="Encabezado"/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  <w14:numForm w14:val="oldStyle"/>
            </w:rPr>
          </w:pPr>
        </w:p>
      </w:tc>
    </w:tr>
  </w:tbl>
  <w:p w:rsidR="008F7975" w:rsidRDefault="008F797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EBE" w:rsidRDefault="00E26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71CE4"/>
    <w:multiLevelType w:val="hybridMultilevel"/>
    <w:tmpl w:val="3BE634BE"/>
    <w:lvl w:ilvl="0" w:tplc="4F04CFF4">
      <w:start w:val="1"/>
      <w:numFmt w:val="decimal"/>
      <w:lvlText w:val="%1."/>
      <w:lvlJc w:val="left"/>
      <w:pPr>
        <w:ind w:left="1068" w:hanging="360"/>
      </w:pPr>
      <w:rPr>
        <w:rFonts w:ascii="Book Antiqua" w:hAnsi="Book Antiqua" w:cs="Times New Roman" w:hint="default"/>
        <w:i/>
      </w:rPr>
    </w:lvl>
    <w:lvl w:ilvl="1" w:tplc="080A0019">
      <w:start w:val="1"/>
      <w:numFmt w:val="lowerLetter"/>
      <w:lvlText w:val="%2."/>
      <w:lvlJc w:val="left"/>
      <w:pPr>
        <w:ind w:left="1788" w:hanging="360"/>
      </w:pPr>
    </w:lvl>
    <w:lvl w:ilvl="2" w:tplc="080A001B">
      <w:start w:val="1"/>
      <w:numFmt w:val="lowerRoman"/>
      <w:lvlText w:val="%3."/>
      <w:lvlJc w:val="right"/>
      <w:pPr>
        <w:ind w:left="2508" w:hanging="180"/>
      </w:pPr>
    </w:lvl>
    <w:lvl w:ilvl="3" w:tplc="080A000F">
      <w:start w:val="1"/>
      <w:numFmt w:val="decimal"/>
      <w:lvlText w:val="%4."/>
      <w:lvlJc w:val="left"/>
      <w:pPr>
        <w:ind w:left="3228" w:hanging="360"/>
      </w:pPr>
    </w:lvl>
    <w:lvl w:ilvl="4" w:tplc="080A0019">
      <w:start w:val="1"/>
      <w:numFmt w:val="lowerLetter"/>
      <w:lvlText w:val="%5."/>
      <w:lvlJc w:val="left"/>
      <w:pPr>
        <w:ind w:left="3948" w:hanging="360"/>
      </w:pPr>
    </w:lvl>
    <w:lvl w:ilvl="5" w:tplc="080A001B">
      <w:start w:val="1"/>
      <w:numFmt w:val="lowerRoman"/>
      <w:lvlText w:val="%6."/>
      <w:lvlJc w:val="right"/>
      <w:pPr>
        <w:ind w:left="4668" w:hanging="180"/>
      </w:pPr>
    </w:lvl>
    <w:lvl w:ilvl="6" w:tplc="080A000F">
      <w:start w:val="1"/>
      <w:numFmt w:val="decimal"/>
      <w:lvlText w:val="%7."/>
      <w:lvlJc w:val="left"/>
      <w:pPr>
        <w:ind w:left="5388" w:hanging="360"/>
      </w:pPr>
    </w:lvl>
    <w:lvl w:ilvl="7" w:tplc="080A0019">
      <w:start w:val="1"/>
      <w:numFmt w:val="lowerLetter"/>
      <w:lvlText w:val="%8."/>
      <w:lvlJc w:val="left"/>
      <w:pPr>
        <w:ind w:left="6108" w:hanging="360"/>
      </w:pPr>
    </w:lvl>
    <w:lvl w:ilvl="8" w:tplc="080A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3B4E8F"/>
    <w:multiLevelType w:val="hybridMultilevel"/>
    <w:tmpl w:val="FF921CE2"/>
    <w:lvl w:ilvl="0" w:tplc="6BBC8C40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B4D"/>
    <w:rsid w:val="00091B6E"/>
    <w:rsid w:val="001949AE"/>
    <w:rsid w:val="0036564E"/>
    <w:rsid w:val="00396AF2"/>
    <w:rsid w:val="00447267"/>
    <w:rsid w:val="00516162"/>
    <w:rsid w:val="005C79BE"/>
    <w:rsid w:val="007E3DBA"/>
    <w:rsid w:val="008F7975"/>
    <w:rsid w:val="00B21BDC"/>
    <w:rsid w:val="00B83DC8"/>
    <w:rsid w:val="00BE2D9F"/>
    <w:rsid w:val="00C23B7A"/>
    <w:rsid w:val="00CF20F9"/>
    <w:rsid w:val="00D16449"/>
    <w:rsid w:val="00E26EBE"/>
    <w:rsid w:val="00F62E3E"/>
    <w:rsid w:val="00F8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14561DE-962E-4FC8-BC6F-25E34D1B9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4B4D"/>
    <w:rPr>
      <w:rFonts w:eastAsiaTheme="minorEastAsia"/>
      <w:lang w:eastAsia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rsid w:val="00F84B4D"/>
    <w:rPr>
      <w:rFonts w:cs="Times New Roman"/>
    </w:rPr>
  </w:style>
  <w:style w:type="paragraph" w:styleId="Encabezado">
    <w:name w:val="header"/>
    <w:basedOn w:val="Normal"/>
    <w:link w:val="EncabezadoCar"/>
    <w:uiPriority w:val="99"/>
    <w:unhideWhenUsed/>
    <w:rsid w:val="00F84B4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F84B4D"/>
  </w:style>
  <w:style w:type="paragraph" w:styleId="Piedepgina">
    <w:name w:val="footer"/>
    <w:basedOn w:val="Normal"/>
    <w:link w:val="PiedepginaCar"/>
    <w:uiPriority w:val="99"/>
    <w:unhideWhenUsed/>
    <w:rsid w:val="00F84B4D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84B4D"/>
  </w:style>
  <w:style w:type="paragraph" w:styleId="Prrafodelista">
    <w:name w:val="List Paragraph"/>
    <w:basedOn w:val="Normal"/>
    <w:uiPriority w:val="34"/>
    <w:qFormat/>
    <w:rsid w:val="00F84B4D"/>
    <w:pPr>
      <w:ind w:left="720"/>
      <w:contextualSpacing/>
    </w:pPr>
    <w:rPr>
      <w:rFonts w:eastAsiaTheme="minorHAnsi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4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84B4D"/>
    <w:rPr>
      <w:rFonts w:ascii="Tahoma" w:eastAsiaTheme="minorEastAsia" w:hAnsi="Tahoma" w:cs="Tahoma"/>
      <w:sz w:val="16"/>
      <w:szCs w:val="16"/>
      <w:lang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E175B711460496DA885203FD5147D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15DF3-F87E-49C2-B900-F0498A1BE0EC}"/>
      </w:docPartPr>
      <w:docPartBody>
        <w:p w:rsidR="00582041" w:rsidRDefault="00EC6EA3" w:rsidP="00EC6EA3">
          <w:pPr>
            <w:pStyle w:val="1E175B711460496DA885203FD5147DDC"/>
          </w:pPr>
          <w:r>
            <w:rPr>
              <w:rFonts w:asciiTheme="majorHAnsi" w:eastAsiaTheme="majorEastAsia" w:hAnsiTheme="majorHAnsi" w:cstheme="majorBidi"/>
              <w:sz w:val="36"/>
              <w:szCs w:val="36"/>
              <w:lang w:val="es-ES"/>
            </w:rPr>
            <w:t>[Escriba el título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EA3"/>
    <w:rsid w:val="00463EFB"/>
    <w:rsid w:val="00582041"/>
    <w:rsid w:val="00983F43"/>
    <w:rsid w:val="00C62DB4"/>
    <w:rsid w:val="00EC6EA3"/>
    <w:rsid w:val="00FB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1E175B711460496DA885203FD5147DDC">
    <w:name w:val="1E175B711460496DA885203FD5147DDC"/>
    <w:rsid w:val="00EC6EA3"/>
  </w:style>
  <w:style w:type="paragraph" w:customStyle="1" w:styleId="467693751AD64F3F8127F4C7BC9A2F54">
    <w:name w:val="467693751AD64F3F8127F4C7BC9A2F54"/>
    <w:rsid w:val="00EC6E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2354</Words>
  <Characters>14413</Characters>
  <Application>Microsoft Office Word</Application>
  <DocSecurity>0</DocSecurity>
  <Lines>1029</Lines>
  <Paragraphs>316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 DE INFORMACIÓN RESERVADA MIGOBDT</vt:lpstr>
    </vt:vector>
  </TitlesOfParts>
  <Company>Microsoft</Company>
  <LinksUpToDate>false</LinksUpToDate>
  <CharactersWithSpaces>16451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 DE INFORMACIÓN RESERVADA MIGOBDT</dc:title>
  <dc:creator>Jenni Quintanilla</dc:creator>
  <cp:lastModifiedBy>Vicente Orlando Hernandez Melara</cp:lastModifiedBy>
  <cp:revision>2</cp:revision>
  <cp:lastPrinted>2019-05-09T16:36:00Z</cp:lastPrinted>
  <dcterms:created xsi:type="dcterms:W3CDTF">2019-07-29T22:16:00Z</dcterms:created>
  <dcterms:modified xsi:type="dcterms:W3CDTF">2019-07-29T22:16:00Z</dcterms:modified>
</cp:coreProperties>
</file>