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DDE" w:rsidRDefault="00937945">
      <w:pPr>
        <w:spacing w:after="240" w:line="360" w:lineRule="auto"/>
        <w:jc w:val="both"/>
        <w:rPr>
          <w:rFonts w:ascii="Times New Roman" w:eastAsia="Times New Roman" w:hAnsi="Times New Roman" w:cs="Times New Roman"/>
          <w:b/>
          <w:sz w:val="24"/>
          <w:szCs w:val="24"/>
        </w:rPr>
      </w:pPr>
      <w:r>
        <w:rPr>
          <w:sz w:val="24"/>
          <w:szCs w:val="24"/>
        </w:rPr>
        <w:t xml:space="preserve">  </w:t>
      </w:r>
      <w:r>
        <w:rPr>
          <w:noProof/>
          <w:sz w:val="24"/>
          <w:szCs w:val="24"/>
        </w:rPr>
        <w:drawing>
          <wp:anchor distT="0" distB="0" distL="0" distR="0" simplePos="0" relativeHeight="251658240" behindDoc="0" locked="0" layoutInCell="1" hidden="0" allowOverlap="1">
            <wp:simplePos x="0" y="0"/>
            <wp:positionH relativeFrom="margin">
              <wp:posOffset>635</wp:posOffset>
            </wp:positionH>
            <wp:positionV relativeFrom="margin">
              <wp:posOffset>-370838</wp:posOffset>
            </wp:positionV>
            <wp:extent cx="695325" cy="661035"/>
            <wp:effectExtent l="0" t="0" r="0" b="0"/>
            <wp:wrapSquare wrapText="bothSides" distT="0" distB="0" distL="0" distR="0"/>
            <wp:docPr id="7" name="image1.png" descr="1000px-Escudo ES"/>
            <wp:cNvGraphicFramePr/>
            <a:graphic xmlns:a="http://schemas.openxmlformats.org/drawingml/2006/main">
              <a:graphicData uri="http://schemas.openxmlformats.org/drawingml/2006/picture">
                <pic:pic xmlns:pic="http://schemas.openxmlformats.org/drawingml/2006/picture">
                  <pic:nvPicPr>
                    <pic:cNvPr id="0" name="image1.png" descr="1000px-Escudo ES"/>
                    <pic:cNvPicPr preferRelativeResize="0"/>
                  </pic:nvPicPr>
                  <pic:blipFill>
                    <a:blip r:embed="rId7"/>
                    <a:srcRect/>
                    <a:stretch>
                      <a:fillRect/>
                    </a:stretch>
                  </pic:blipFill>
                  <pic:spPr>
                    <a:xfrm>
                      <a:off x="0" y="0"/>
                      <a:ext cx="695325" cy="661035"/>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column">
              <wp:posOffset>3729990</wp:posOffset>
            </wp:positionH>
            <wp:positionV relativeFrom="paragraph">
              <wp:posOffset>-309242</wp:posOffset>
            </wp:positionV>
            <wp:extent cx="1866900" cy="661035"/>
            <wp:effectExtent l="0" t="0" r="0" b="0"/>
            <wp:wrapNone/>
            <wp:docPr id="8" name="image2.png" descr="4- iaip_horizontal_ss"/>
            <wp:cNvGraphicFramePr/>
            <a:graphic xmlns:a="http://schemas.openxmlformats.org/drawingml/2006/main">
              <a:graphicData uri="http://schemas.openxmlformats.org/drawingml/2006/picture">
                <pic:pic xmlns:pic="http://schemas.openxmlformats.org/drawingml/2006/picture">
                  <pic:nvPicPr>
                    <pic:cNvPr id="0" name="image2.png" descr="4- iaip_horizontal_ss"/>
                    <pic:cNvPicPr preferRelativeResize="0"/>
                  </pic:nvPicPr>
                  <pic:blipFill>
                    <a:blip r:embed="rId8"/>
                    <a:srcRect/>
                    <a:stretch>
                      <a:fillRect/>
                    </a:stretch>
                  </pic:blipFill>
                  <pic:spPr>
                    <a:xfrm>
                      <a:off x="0" y="0"/>
                      <a:ext cx="1866900" cy="661035"/>
                    </a:xfrm>
                    <a:prstGeom prst="rect">
                      <a:avLst/>
                    </a:prstGeom>
                    <a:ln/>
                  </pic:spPr>
                </pic:pic>
              </a:graphicData>
            </a:graphic>
          </wp:anchor>
        </w:drawing>
      </w:r>
    </w:p>
    <w:p w:rsidR="00382DDE" w:rsidRDefault="00937945">
      <w:pPr>
        <w:spacing w:after="0" w:line="360" w:lineRule="auto"/>
        <w:jc w:val="center"/>
        <w:rPr>
          <w:rFonts w:ascii="Times New Roman" w:eastAsia="Times New Roman" w:hAnsi="Times New Roman" w:cs="Times New Roman"/>
          <w:b/>
          <w:color w:val="002060"/>
          <w:sz w:val="24"/>
          <w:szCs w:val="24"/>
        </w:rPr>
      </w:pPr>
      <w:r>
        <w:rPr>
          <w:rFonts w:ascii="Times New Roman" w:eastAsia="Times New Roman" w:hAnsi="Times New Roman" w:cs="Times New Roman"/>
          <w:b/>
          <w:color w:val="002060"/>
          <w:sz w:val="24"/>
          <w:szCs w:val="24"/>
        </w:rPr>
        <w:t xml:space="preserve">NUE 2- EV-2020 </w:t>
      </w:r>
    </w:p>
    <w:p w:rsidR="00382DDE" w:rsidRDefault="00937945">
      <w:pPr>
        <w:spacing w:after="240" w:line="360" w:lineRule="auto"/>
        <w:jc w:val="center"/>
        <w:rPr>
          <w:rFonts w:ascii="Times New Roman" w:eastAsia="Times New Roman" w:hAnsi="Times New Roman" w:cs="Times New Roman"/>
          <w:b/>
          <w:color w:val="002060"/>
          <w:sz w:val="24"/>
          <w:szCs w:val="24"/>
        </w:rPr>
      </w:pPr>
      <w:bookmarkStart w:id="0" w:name="_heading=h.gjdgxs" w:colFirst="0" w:colLast="0"/>
      <w:bookmarkEnd w:id="0"/>
      <w:r>
        <w:rPr>
          <w:rFonts w:ascii="Times New Roman" w:eastAsia="Times New Roman" w:hAnsi="Times New Roman" w:cs="Times New Roman"/>
          <w:b/>
          <w:color w:val="002060"/>
          <w:sz w:val="24"/>
          <w:szCs w:val="24"/>
        </w:rPr>
        <w:t>Improponibilidad</w:t>
      </w:r>
    </w:p>
    <w:p w:rsidR="00855786" w:rsidRDefault="00855786">
      <w:pPr>
        <w:spacing w:after="240" w:line="360" w:lineRule="auto"/>
        <w:jc w:val="center"/>
        <w:rPr>
          <w:rFonts w:ascii="Times New Roman" w:eastAsia="Times New Roman" w:hAnsi="Times New Roman" w:cs="Times New Roman"/>
          <w:b/>
          <w:color w:val="002060"/>
          <w:sz w:val="24"/>
          <w:szCs w:val="24"/>
        </w:rPr>
      </w:pPr>
    </w:p>
    <w:p w:rsidR="00382DDE" w:rsidRDefault="00937945">
      <w:pPr>
        <w:spacing w:after="24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INSTITUTO DE ACCESO A LA INFORMACIÓN PÚBLICA</w:t>
      </w:r>
      <w:r>
        <w:rPr>
          <w:rFonts w:ascii="Times New Roman" w:eastAsia="Times New Roman" w:hAnsi="Times New Roman" w:cs="Times New Roman"/>
          <w:sz w:val="24"/>
          <w:szCs w:val="24"/>
        </w:rPr>
        <w:t>: San Salvador, a las doce horas con siete minutos de</w:t>
      </w:r>
      <w:r>
        <w:rPr>
          <w:rFonts w:ascii="Times New Roman" w:eastAsia="Times New Roman" w:hAnsi="Times New Roman" w:cs="Times New Roman"/>
          <w:sz w:val="24"/>
          <w:szCs w:val="24"/>
          <w:highlight w:val="white"/>
        </w:rPr>
        <w:t>l 9 de septiembre de dos mil veinte.</w:t>
      </w:r>
    </w:p>
    <w:p w:rsidR="00382DDE" w:rsidRDefault="00937945">
      <w:pPr>
        <w:spacing w:after="240" w:line="360" w:lineRule="auto"/>
        <w:ind w:firstLine="708"/>
        <w:jc w:val="both"/>
        <w:rPr>
          <w:rFonts w:ascii="Times New Roman" w:eastAsia="Times New Roman" w:hAnsi="Times New Roman" w:cs="Times New Roman"/>
          <w:sz w:val="24"/>
          <w:szCs w:val="24"/>
        </w:rPr>
      </w:pPr>
      <w:bookmarkStart w:id="1" w:name="_heading=h.30j0zll" w:colFirst="0" w:colLast="0"/>
      <w:bookmarkEnd w:id="1"/>
      <w:r>
        <w:rPr>
          <w:rFonts w:ascii="Times New Roman" w:eastAsia="Times New Roman" w:hAnsi="Times New Roman" w:cs="Times New Roman"/>
          <w:b/>
          <w:sz w:val="24"/>
          <w:szCs w:val="24"/>
        </w:rPr>
        <w:t>I.</w:t>
      </w:r>
      <w:r>
        <w:rPr>
          <w:rFonts w:ascii="Times New Roman" w:eastAsia="Times New Roman" w:hAnsi="Times New Roman" w:cs="Times New Roman"/>
          <w:sz w:val="24"/>
          <w:szCs w:val="24"/>
        </w:rPr>
        <w:t xml:space="preserve"> El 9 de marzo del presente año, la licenciada Silvia Carolina Jiménez de Cortez, en su calidad de oficial de gestión documental y archivos del Instituto Salvadoreño de Transformación Agraria (ISTA), interpuso recurso de reconsideración en contra de la not</w:t>
      </w:r>
      <w:r>
        <w:rPr>
          <w:rFonts w:ascii="Times New Roman" w:eastAsia="Times New Roman" w:hAnsi="Times New Roman" w:cs="Times New Roman"/>
          <w:sz w:val="24"/>
          <w:szCs w:val="24"/>
        </w:rPr>
        <w:t>a asignada  en el componente de gestión documental y archivos de dicha Institución, en el marco de la evaluación del desempeño correspondiente al período comprendido entre agosto 2017 y julio 2019, acto administrativo que fue notificado por la Unidad de Ev</w:t>
      </w:r>
      <w:r>
        <w:rPr>
          <w:rFonts w:ascii="Times New Roman" w:eastAsia="Times New Roman" w:hAnsi="Times New Roman" w:cs="Times New Roman"/>
          <w:sz w:val="24"/>
          <w:szCs w:val="24"/>
        </w:rPr>
        <w:t xml:space="preserve">aluación del Desempeño el 24 de febrero del presente año.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II.</w:t>
      </w:r>
      <w:r>
        <w:rPr>
          <w:rFonts w:ascii="Times New Roman" w:eastAsia="Times New Roman" w:hAnsi="Times New Roman" w:cs="Times New Roman"/>
          <w:sz w:val="24"/>
          <w:szCs w:val="24"/>
        </w:rPr>
        <w:t xml:space="preserve"> Al respecto este Instituto, hace las siguientes consideraciones: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 xml:space="preserve"> El procedimiento de evaluación del desempeño se desarrolla en el contexto de la atribución establecida para este Instituto </w:t>
      </w:r>
      <w:r>
        <w:rPr>
          <w:rFonts w:ascii="Times New Roman" w:eastAsia="Times New Roman" w:hAnsi="Times New Roman" w:cs="Times New Roman"/>
          <w:sz w:val="24"/>
          <w:szCs w:val="24"/>
        </w:rPr>
        <w:t>en la letra “l” del Art. 58 de la Ley de Acceso a la Información Pública, según la cual, se habilita al Instituto a evaluar el desempeño de los entes obligados al cumplimiento de la LAIP, es decir aquellos descritos en el Art. 7 del referido cuerpo normati</w:t>
      </w:r>
      <w:r>
        <w:rPr>
          <w:rFonts w:ascii="Times New Roman" w:eastAsia="Times New Roman" w:hAnsi="Times New Roman" w:cs="Times New Roman"/>
          <w:sz w:val="24"/>
          <w:szCs w:val="24"/>
        </w:rPr>
        <w:t xml:space="preserve">vo.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este sentido, las obligaciones de transparencia establecidas en la LAIP, incluidas las referentes a la materia de gestión documental y archivos, son correlativamente exigibles a los entes obligados, como entidades jurídicas. De tal forma, puede afi</w:t>
      </w:r>
      <w:r>
        <w:rPr>
          <w:rFonts w:ascii="Times New Roman" w:eastAsia="Times New Roman" w:hAnsi="Times New Roman" w:cs="Times New Roman"/>
          <w:sz w:val="24"/>
          <w:szCs w:val="24"/>
        </w:rPr>
        <w:t xml:space="preserve">rmarse que el sujeto al que se evalúa es la institución obligada en sí, como ente de derecho público sujeto de obligaciones y derechos, con personería jurídica propia y mecanismo de ejercicio de </w:t>
      </w:r>
      <w:proofErr w:type="gramStart"/>
      <w:r>
        <w:rPr>
          <w:rFonts w:ascii="Times New Roman" w:eastAsia="Times New Roman" w:hAnsi="Times New Roman" w:cs="Times New Roman"/>
          <w:sz w:val="24"/>
          <w:szCs w:val="24"/>
        </w:rPr>
        <w:t>su representación debidamente establecidos</w:t>
      </w:r>
      <w:proofErr w:type="gramEnd"/>
      <w:r>
        <w:rPr>
          <w:rFonts w:ascii="Times New Roman" w:eastAsia="Times New Roman" w:hAnsi="Times New Roman" w:cs="Times New Roman"/>
          <w:sz w:val="24"/>
          <w:szCs w:val="24"/>
        </w:rPr>
        <w:t xml:space="preserve">. En consecuencia, </w:t>
      </w:r>
      <w:r>
        <w:rPr>
          <w:rFonts w:ascii="Times New Roman" w:eastAsia="Times New Roman" w:hAnsi="Times New Roman" w:cs="Times New Roman"/>
          <w:sz w:val="24"/>
          <w:szCs w:val="24"/>
        </w:rPr>
        <w:t>aun cuando los empleados de la Institución juegan un rol importante en el cumplimiento de las obligaciones legales derivadas, no puede considerarse a estos como el sujeto al que se dirige la evaluación.</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En este mismo orden de ideas, el instructivo aprobado</w:t>
      </w:r>
      <w:r>
        <w:rPr>
          <w:rFonts w:ascii="Times New Roman" w:eastAsia="Times New Roman" w:hAnsi="Times New Roman" w:cs="Times New Roman"/>
          <w:sz w:val="24"/>
          <w:szCs w:val="24"/>
        </w:rPr>
        <w:t xml:space="preserve"> por el Pleno de este Instituto para el procedimiento al que se refiere el requirente, deja claro que las obligaciones que se evaluarían corresponden al ente en su conjunto y no específicamente a los oficiales.  Al respecto, basta con atender el hecho que </w:t>
      </w:r>
      <w:r>
        <w:rPr>
          <w:rFonts w:ascii="Times New Roman" w:eastAsia="Times New Roman" w:hAnsi="Times New Roman" w:cs="Times New Roman"/>
          <w:sz w:val="24"/>
          <w:szCs w:val="24"/>
        </w:rPr>
        <w:t xml:space="preserve">dicho instructivo, y el procedimiento en sí, disponen que la notificación de los resultados se realizará a la máxima autoridad de la institución.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Por otro lado, es importante recalcar que el derecho a recurrir de una decisión administrativa le corresp</w:t>
      </w:r>
      <w:r>
        <w:rPr>
          <w:rFonts w:ascii="Times New Roman" w:eastAsia="Times New Roman" w:hAnsi="Times New Roman" w:cs="Times New Roman"/>
          <w:sz w:val="24"/>
          <w:szCs w:val="24"/>
        </w:rPr>
        <w:t>onde a las personas, naturales o jurídicas, a quien se haya dirigido el acto, y demuestren su vinculación con el procedimiento en el marco del cual fue emitido el acto a impugnar. En tal sentido, no toda persona se encuentra legitimada para ejercer la impu</w:t>
      </w:r>
      <w:r>
        <w:rPr>
          <w:rFonts w:ascii="Times New Roman" w:eastAsia="Times New Roman" w:hAnsi="Times New Roman" w:cs="Times New Roman"/>
          <w:sz w:val="24"/>
          <w:szCs w:val="24"/>
        </w:rPr>
        <w:t xml:space="preserve">gnación de un acto en particular, sino únicamente aquellas a las que les asista el derecho correspondiente.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tal sentido, el Art. 65 de la LPA limita la capacidad de intervención en los procedimientos, a aquellas personas legítimamente vinculadas a ésto</w:t>
      </w:r>
      <w:r>
        <w:rPr>
          <w:rFonts w:ascii="Times New Roman" w:eastAsia="Times New Roman" w:hAnsi="Times New Roman" w:cs="Times New Roman"/>
          <w:sz w:val="24"/>
          <w:szCs w:val="24"/>
        </w:rPr>
        <w:t>s, en particular, aquellos que son titulares de los derechos que se encuentran en discusión o cuya afectación se reclama. En consecuencia, se impone a la administración el deber de verificar la legitimación para la interposición de los recursos ante la sed</w:t>
      </w:r>
      <w:r>
        <w:rPr>
          <w:rFonts w:ascii="Times New Roman" w:eastAsia="Times New Roman" w:hAnsi="Times New Roman" w:cs="Times New Roman"/>
          <w:sz w:val="24"/>
          <w:szCs w:val="24"/>
        </w:rPr>
        <w:t xml:space="preserve">e administrativa.  Así, se reconoce en el art. 126 de la LPA, donde se establece como causa de rechazo del recurso presentado, cuando éste pretenda ser ejercido por persona carente de la legitimación necesaria.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En el caso en concreto, el recurso en con</w:t>
      </w:r>
      <w:r>
        <w:rPr>
          <w:rFonts w:ascii="Times New Roman" w:eastAsia="Times New Roman" w:hAnsi="Times New Roman" w:cs="Times New Roman"/>
          <w:sz w:val="24"/>
          <w:szCs w:val="24"/>
        </w:rPr>
        <w:t>tra de la evaluación del desempeño correspondiente al componente de gestión documental y archivos del ISTA fue interpuesto por Silvia Carolina Jiménez de Cortez, quien ejerce el cargo de oficial de gestión documental y archivos, y manifestó realizar el req</w:t>
      </w:r>
      <w:r>
        <w:rPr>
          <w:rFonts w:ascii="Times New Roman" w:eastAsia="Times New Roman" w:hAnsi="Times New Roman" w:cs="Times New Roman"/>
          <w:sz w:val="24"/>
          <w:szCs w:val="24"/>
        </w:rPr>
        <w:t xml:space="preserve">uerimiento en dicha calidad.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 respecto, es necesario considerar que la peticionaria no ha alegado afectación directa alguna para sus derechos que justifique la interposición del recurso incoado. En este orden de ideas, debe traerse a colación que la afectación de los derechos o inte</w:t>
      </w:r>
      <w:r>
        <w:rPr>
          <w:rFonts w:ascii="Times New Roman" w:eastAsia="Times New Roman" w:hAnsi="Times New Roman" w:cs="Times New Roman"/>
          <w:sz w:val="24"/>
          <w:szCs w:val="24"/>
        </w:rPr>
        <w:t xml:space="preserve">reses constituye un elemento fundamental en la determinación de la legitimación de la parte activa en el recurso, de tal forma que ausencia de agravio suficiente conlleva la </w:t>
      </w:r>
      <w:proofErr w:type="spellStart"/>
      <w:r>
        <w:rPr>
          <w:rFonts w:ascii="Times New Roman" w:eastAsia="Times New Roman" w:hAnsi="Times New Roman" w:cs="Times New Roman"/>
          <w:sz w:val="24"/>
          <w:szCs w:val="24"/>
        </w:rPr>
        <w:t>improponibilidad</w:t>
      </w:r>
      <w:proofErr w:type="spellEnd"/>
      <w:r>
        <w:rPr>
          <w:rFonts w:ascii="Times New Roman" w:eastAsia="Times New Roman" w:hAnsi="Times New Roman" w:cs="Times New Roman"/>
          <w:sz w:val="24"/>
          <w:szCs w:val="24"/>
        </w:rPr>
        <w:t xml:space="preserve"> del recurso.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Al respecto, es dable considerar que siendo la eva</w:t>
      </w:r>
      <w:r>
        <w:rPr>
          <w:rFonts w:ascii="Times New Roman" w:eastAsia="Times New Roman" w:hAnsi="Times New Roman" w:cs="Times New Roman"/>
          <w:sz w:val="24"/>
          <w:szCs w:val="24"/>
        </w:rPr>
        <w:t>luación del desempeño llevada a cabo por este Instituto un procedimiento dirigido a los entes obligados al cumplimiento de la LAIP, son éstos los legitimados para la interposición de los recursos correspondientes, por medio de sus apoderados o representant</w:t>
      </w:r>
      <w:r>
        <w:rPr>
          <w:rFonts w:ascii="Times New Roman" w:eastAsia="Times New Roman" w:hAnsi="Times New Roman" w:cs="Times New Roman"/>
          <w:sz w:val="24"/>
          <w:szCs w:val="24"/>
        </w:rPr>
        <w:t>es legales. En tal sentido, aunque en el cumplimiento de las obligaciones de transparencia, los oficiales cumplen una función relevante, esto, de ninguna manera supone la representación legal del ente obligado, ni constituye un supuesto extraordinario de l</w:t>
      </w:r>
      <w:r>
        <w:rPr>
          <w:rFonts w:ascii="Times New Roman" w:eastAsia="Times New Roman" w:hAnsi="Times New Roman" w:cs="Times New Roman"/>
          <w:sz w:val="24"/>
          <w:szCs w:val="24"/>
        </w:rPr>
        <w:t xml:space="preserve">egitimación.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Asimismo, debe tomarse en cuenta que la </w:t>
      </w:r>
      <w:proofErr w:type="spellStart"/>
      <w:r>
        <w:rPr>
          <w:rFonts w:ascii="Times New Roman" w:eastAsia="Times New Roman" w:hAnsi="Times New Roman" w:cs="Times New Roman"/>
          <w:sz w:val="24"/>
          <w:szCs w:val="24"/>
        </w:rPr>
        <w:t>incoante</w:t>
      </w:r>
      <w:proofErr w:type="spellEnd"/>
      <w:r>
        <w:rPr>
          <w:rFonts w:ascii="Times New Roman" w:eastAsia="Times New Roman" w:hAnsi="Times New Roman" w:cs="Times New Roman"/>
          <w:sz w:val="24"/>
          <w:szCs w:val="24"/>
        </w:rPr>
        <w:t xml:space="preserve"> no ha alegado a su favor personería jurídica que lo acredite en la capacidad de representar al ente obligado, al contrario, ha pretendido interponer el recurso en su calidad de oficial de gesti</w:t>
      </w:r>
      <w:r>
        <w:rPr>
          <w:rFonts w:ascii="Times New Roman" w:eastAsia="Times New Roman" w:hAnsi="Times New Roman" w:cs="Times New Roman"/>
          <w:sz w:val="24"/>
          <w:szCs w:val="24"/>
        </w:rPr>
        <w:t>ón documental y archivos, por lo tanto, no le resulta aplicable la regla establecida en el inciso final del Art. 67 de la LPA, en cuanto a la insuficiente acreditación de personería, sino que nos encontramos frente a un supuesto de falta de legitimación ac</w:t>
      </w:r>
      <w:r>
        <w:rPr>
          <w:rFonts w:ascii="Times New Roman" w:eastAsia="Times New Roman" w:hAnsi="Times New Roman" w:cs="Times New Roman"/>
          <w:sz w:val="24"/>
          <w:szCs w:val="24"/>
        </w:rPr>
        <w:t xml:space="preserve">tiva de parte del recurrente.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Ahora bien, este Instituto, al efectuar valoraciones sobre el escrito presentado advierte que existe que la impetrante carece de la legitimación necesaria para ejercer el acto que pretende, por lo que corresponde rechazar el </w:t>
      </w:r>
      <w:r>
        <w:rPr>
          <w:rFonts w:ascii="Times New Roman" w:eastAsia="Times New Roman" w:hAnsi="Times New Roman" w:cs="Times New Roman"/>
          <w:sz w:val="24"/>
          <w:szCs w:val="24"/>
        </w:rPr>
        <w:t xml:space="preserve">recurso interpuesto por improponible, en </w:t>
      </w:r>
      <w:proofErr w:type="spellStart"/>
      <w:r>
        <w:rPr>
          <w:rFonts w:ascii="Times New Roman" w:eastAsia="Times New Roman" w:hAnsi="Times New Roman" w:cs="Times New Roman"/>
          <w:sz w:val="24"/>
          <w:szCs w:val="24"/>
        </w:rPr>
        <w:t>lo</w:t>
      </w:r>
      <w:proofErr w:type="spellEnd"/>
      <w:r>
        <w:rPr>
          <w:rFonts w:ascii="Times New Roman" w:eastAsia="Times New Roman" w:hAnsi="Times New Roman" w:cs="Times New Roman"/>
          <w:sz w:val="24"/>
          <w:szCs w:val="24"/>
        </w:rPr>
        <w:t xml:space="preserve"> términos establecidos en el numeral 1 del Art. 126 de la LPA.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conformidad con lo antes expuesto y con base en los artículos 6 y 18 de la Constitución de la República, 82, 86, 87, 102 de la LAIP, y los artícul</w:t>
      </w:r>
      <w:r>
        <w:rPr>
          <w:rFonts w:ascii="Times New Roman" w:eastAsia="Times New Roman" w:hAnsi="Times New Roman" w:cs="Times New Roman"/>
          <w:sz w:val="24"/>
          <w:szCs w:val="24"/>
        </w:rPr>
        <w:t xml:space="preserve">os 126, 139 y 140 de la LPA, este Instituto </w:t>
      </w:r>
      <w:r>
        <w:rPr>
          <w:rFonts w:ascii="Times New Roman" w:eastAsia="Times New Roman" w:hAnsi="Times New Roman" w:cs="Times New Roman"/>
          <w:b/>
          <w:sz w:val="24"/>
          <w:szCs w:val="24"/>
        </w:rPr>
        <w:t>resuelve</w:t>
      </w:r>
      <w:r>
        <w:rPr>
          <w:rFonts w:ascii="Times New Roman" w:eastAsia="Times New Roman" w:hAnsi="Times New Roman" w:cs="Times New Roman"/>
          <w:sz w:val="24"/>
          <w:szCs w:val="24"/>
        </w:rPr>
        <w:t>:</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 Rechazar por improponible</w:t>
      </w:r>
      <w:r>
        <w:rPr>
          <w:rFonts w:ascii="Times New Roman" w:eastAsia="Times New Roman" w:hAnsi="Times New Roman" w:cs="Times New Roman"/>
          <w:sz w:val="24"/>
          <w:szCs w:val="24"/>
        </w:rPr>
        <w:t xml:space="preserve"> el recurso de reconsideración interpuesto por Silvia Carolina Jiménez de Cortez.</w:t>
      </w:r>
    </w:p>
    <w:p w:rsidR="00382DDE" w:rsidRDefault="00937945">
      <w:pPr>
        <w:spacing w:before="240" w:after="240" w:line="36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 Notificar</w:t>
      </w:r>
      <w:r>
        <w:rPr>
          <w:rFonts w:ascii="Times New Roman" w:eastAsia="Times New Roman" w:hAnsi="Times New Roman" w:cs="Times New Roman"/>
          <w:sz w:val="24"/>
          <w:szCs w:val="24"/>
        </w:rPr>
        <w:t xml:space="preserve"> esta resolución al </w:t>
      </w:r>
      <w:proofErr w:type="spellStart"/>
      <w:r>
        <w:rPr>
          <w:rFonts w:ascii="Times New Roman" w:eastAsia="Times New Roman" w:hAnsi="Times New Roman" w:cs="Times New Roman"/>
          <w:sz w:val="24"/>
          <w:szCs w:val="24"/>
        </w:rPr>
        <w:t>incoante</w:t>
      </w:r>
      <w:proofErr w:type="spellEnd"/>
      <w:r>
        <w:rPr>
          <w:rFonts w:ascii="Times New Roman" w:eastAsia="Times New Roman" w:hAnsi="Times New Roman" w:cs="Times New Roman"/>
          <w:sz w:val="24"/>
          <w:szCs w:val="24"/>
        </w:rPr>
        <w:t>, de forma personal en las oficinas de del ISTA ubic</w:t>
      </w:r>
      <w:r>
        <w:rPr>
          <w:rFonts w:ascii="Times New Roman" w:eastAsia="Times New Roman" w:hAnsi="Times New Roman" w:cs="Times New Roman"/>
          <w:sz w:val="24"/>
          <w:szCs w:val="24"/>
        </w:rPr>
        <w:t>adas en Kilómetro 5 1/2 Carretera a Santa Tecla, Final Calle y Colonia Las Mercedes, San Salvador, El Salvador; puesto que no señaló otro medio para tales efectos; dejándose constancia impresa, de haberse realizado la notificación.</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c) hacer saber</w:t>
      </w:r>
      <w:r>
        <w:rPr>
          <w:rFonts w:ascii="Times New Roman" w:eastAsia="Times New Roman" w:hAnsi="Times New Roman" w:cs="Times New Roman"/>
          <w:sz w:val="24"/>
          <w:szCs w:val="24"/>
        </w:rPr>
        <w:t xml:space="preserve"> al solici</w:t>
      </w:r>
      <w:r>
        <w:rPr>
          <w:rFonts w:ascii="Times New Roman" w:eastAsia="Times New Roman" w:hAnsi="Times New Roman" w:cs="Times New Roman"/>
          <w:sz w:val="24"/>
          <w:szCs w:val="24"/>
        </w:rPr>
        <w:t xml:space="preserve">tante que la presente resolución no admite recurso en la vía administrativa, por lo que le queda expedito el derecho para acudir a la jurisdicción contencioso administrativo. </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 Transferir</w:t>
      </w:r>
      <w:r>
        <w:rPr>
          <w:rFonts w:ascii="Times New Roman" w:eastAsia="Times New Roman" w:hAnsi="Times New Roman" w:cs="Times New Roman"/>
          <w:sz w:val="24"/>
          <w:szCs w:val="24"/>
        </w:rPr>
        <w:t xml:space="preserve"> al archivo este expediente una vez quede firme la presente resoluc</w:t>
      </w:r>
      <w:r>
        <w:rPr>
          <w:rFonts w:ascii="Times New Roman" w:eastAsia="Times New Roman" w:hAnsi="Times New Roman" w:cs="Times New Roman"/>
          <w:sz w:val="24"/>
          <w:szCs w:val="24"/>
        </w:rPr>
        <w:t>ión.</w:t>
      </w:r>
    </w:p>
    <w:p w:rsidR="00382DDE" w:rsidRDefault="00937945">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Notifíquese.- </w:t>
      </w:r>
    </w:p>
    <w:p w:rsidR="00382DDE" w:rsidRDefault="00382DDE">
      <w:pPr>
        <w:spacing w:after="240" w:line="360" w:lineRule="auto"/>
        <w:ind w:firstLine="708"/>
        <w:jc w:val="both"/>
        <w:rPr>
          <w:rFonts w:ascii="Times New Roman" w:eastAsia="Times New Roman" w:hAnsi="Times New Roman" w:cs="Times New Roman"/>
          <w:sz w:val="24"/>
          <w:szCs w:val="24"/>
        </w:rPr>
      </w:pPr>
    </w:p>
    <w:p w:rsidR="00855786" w:rsidRDefault="00855786" w:rsidP="00855786">
      <w:pPr>
        <w:spacing w:after="240" w:line="360" w:lineRule="auto"/>
        <w:ind w:left="1068"/>
        <w:jc w:val="both"/>
        <w:rPr>
          <w:rFonts w:ascii="Times New Roman" w:eastAsia="Times New Roman" w:hAnsi="Times New Roman" w:cs="Times New Roman"/>
          <w:b/>
          <w:i/>
          <w:sz w:val="24"/>
          <w:szCs w:val="24"/>
        </w:rPr>
      </w:pPr>
      <w:bookmarkStart w:id="2" w:name="_GoBack"/>
      <w:bookmarkEnd w:id="2"/>
    </w:p>
    <w:p w:rsidR="00855786" w:rsidRDefault="00855786" w:rsidP="00855786">
      <w:pPr>
        <w:pStyle w:val="NormalWeb"/>
        <w:spacing w:before="0" w:beforeAutospacing="0" w:after="200" w:afterAutospacing="0"/>
        <w:jc w:val="both"/>
      </w:pPr>
      <w:r>
        <w:rPr>
          <w:color w:val="000000"/>
        </w:rPr>
        <w:t>--------------A.GREGORI--------------R.GOMEZ----------D.H.S------------PRONUNCIADO POR LAS COMISIONADAS Y EL COMISIONADO QUE LA SUSCRIBEN””””””””””””””””””””””””””RUBRICADAS””””””””””””””””’’’’’’’’</w:t>
      </w:r>
    </w:p>
    <w:p w:rsidR="00855786" w:rsidRPr="005A2FA6" w:rsidRDefault="00855786" w:rsidP="00855786">
      <w:pPr>
        <w:spacing w:after="240" w:line="360" w:lineRule="auto"/>
        <w:jc w:val="both"/>
        <w:rPr>
          <w:rFonts w:ascii="Times New Roman" w:eastAsia="Times New Roman" w:hAnsi="Times New Roman" w:cs="Times New Roman"/>
          <w:sz w:val="24"/>
          <w:szCs w:val="24"/>
        </w:rPr>
      </w:pPr>
    </w:p>
    <w:p w:rsidR="00382DDE" w:rsidRDefault="00382DDE">
      <w:pPr>
        <w:spacing w:after="240" w:line="360" w:lineRule="auto"/>
        <w:jc w:val="both"/>
        <w:rPr>
          <w:sz w:val="24"/>
          <w:szCs w:val="24"/>
        </w:rPr>
      </w:pPr>
    </w:p>
    <w:sectPr w:rsidR="00382DDE">
      <w:footerReference w:type="default" r:id="rId9"/>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945" w:rsidRDefault="00937945">
      <w:pPr>
        <w:spacing w:after="0" w:line="240" w:lineRule="auto"/>
      </w:pPr>
      <w:r>
        <w:separator/>
      </w:r>
    </w:p>
  </w:endnote>
  <w:endnote w:type="continuationSeparator" w:id="0">
    <w:p w:rsidR="00937945" w:rsidRDefault="00937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DDE" w:rsidRDefault="00937945">
    <w:pPr>
      <w:pBdr>
        <w:top w:val="nil"/>
        <w:left w:val="nil"/>
        <w:bottom w:val="nil"/>
        <w:right w:val="nil"/>
        <w:between w:val="nil"/>
      </w:pBdr>
      <w:tabs>
        <w:tab w:val="center" w:pos="4419"/>
        <w:tab w:val="right" w:pos="8838"/>
      </w:tabs>
      <w:spacing w:after="0" w:line="240" w:lineRule="auto"/>
      <w:jc w:val="center"/>
      <w:rPr>
        <w:color w:val="000000"/>
      </w:rPr>
    </w:pPr>
    <w:r>
      <w:rPr>
        <w:color w:val="000000"/>
      </w:rPr>
      <w:t xml:space="preserve">Página </w:t>
    </w:r>
    <w:r>
      <w:rPr>
        <w:b/>
        <w:color w:val="000000"/>
        <w:sz w:val="24"/>
        <w:szCs w:val="24"/>
      </w:rPr>
      <w:fldChar w:fldCharType="begin"/>
    </w:r>
    <w:r>
      <w:rPr>
        <w:b/>
        <w:color w:val="000000"/>
        <w:sz w:val="24"/>
        <w:szCs w:val="24"/>
      </w:rPr>
      <w:instrText>PAGE</w:instrText>
    </w:r>
    <w:r w:rsidR="00855786">
      <w:rPr>
        <w:b/>
        <w:color w:val="000000"/>
        <w:sz w:val="24"/>
        <w:szCs w:val="24"/>
      </w:rPr>
      <w:fldChar w:fldCharType="separate"/>
    </w:r>
    <w:r w:rsidR="00A62A7C">
      <w:rPr>
        <w:b/>
        <w:noProof/>
        <w:color w:val="000000"/>
        <w:sz w:val="24"/>
        <w:szCs w:val="24"/>
      </w:rPr>
      <w:t>4</w:t>
    </w:r>
    <w:r>
      <w:rPr>
        <w:b/>
        <w:color w:val="000000"/>
        <w:sz w:val="24"/>
        <w:szCs w:val="24"/>
      </w:rPr>
      <w:fldChar w:fldCharType="end"/>
    </w:r>
    <w:r>
      <w:rPr>
        <w:color w:val="000000"/>
      </w:rPr>
      <w:t xml:space="preserve"> de </w:t>
    </w:r>
    <w:r>
      <w:rPr>
        <w:b/>
        <w:color w:val="000000"/>
        <w:sz w:val="24"/>
        <w:szCs w:val="24"/>
      </w:rPr>
      <w:fldChar w:fldCharType="begin"/>
    </w:r>
    <w:r>
      <w:rPr>
        <w:b/>
        <w:color w:val="000000"/>
        <w:sz w:val="24"/>
        <w:szCs w:val="24"/>
      </w:rPr>
      <w:instrText>NUMPAGES</w:instrText>
    </w:r>
    <w:r w:rsidR="00855786">
      <w:rPr>
        <w:b/>
        <w:color w:val="000000"/>
        <w:sz w:val="24"/>
        <w:szCs w:val="24"/>
      </w:rPr>
      <w:fldChar w:fldCharType="separate"/>
    </w:r>
    <w:r w:rsidR="00A62A7C">
      <w:rPr>
        <w:b/>
        <w:noProof/>
        <w:color w:val="000000"/>
        <w:sz w:val="24"/>
        <w:szCs w:val="24"/>
      </w:rPr>
      <w:t>4</w:t>
    </w:r>
    <w:r>
      <w:rPr>
        <w:b/>
        <w:color w:val="000000"/>
        <w:sz w:val="24"/>
        <w:szCs w:val="24"/>
      </w:rPr>
      <w:fldChar w:fldCharType="end"/>
    </w:r>
  </w:p>
  <w:p w:rsidR="00382DDE" w:rsidRDefault="00382DDE">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945" w:rsidRDefault="00937945">
      <w:pPr>
        <w:spacing w:after="0" w:line="240" w:lineRule="auto"/>
      </w:pPr>
      <w:r>
        <w:separator/>
      </w:r>
    </w:p>
  </w:footnote>
  <w:footnote w:type="continuationSeparator" w:id="0">
    <w:p w:rsidR="00937945" w:rsidRDefault="009379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DDE"/>
    <w:rsid w:val="00382DDE"/>
    <w:rsid w:val="00855786"/>
    <w:rsid w:val="00937945"/>
    <w:rsid w:val="00A62A7C"/>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342910-0C6F-43BC-9DFF-A9355C4D6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SV" w:eastAsia="es-S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4465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465C7"/>
  </w:style>
  <w:style w:type="paragraph" w:styleId="Piedepgina">
    <w:name w:val="footer"/>
    <w:basedOn w:val="Normal"/>
    <w:link w:val="PiedepginaCar"/>
    <w:uiPriority w:val="99"/>
    <w:unhideWhenUsed/>
    <w:rsid w:val="004465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465C7"/>
  </w:style>
  <w:style w:type="paragraph" w:styleId="Prrafodelista">
    <w:name w:val="List Paragraph"/>
    <w:basedOn w:val="Normal"/>
    <w:uiPriority w:val="34"/>
    <w:qFormat/>
    <w:rsid w:val="000D3036"/>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character" w:styleId="Hipervnculo">
    <w:name w:val="Hyperlink"/>
    <w:basedOn w:val="Fuentedeprrafopredeter"/>
    <w:uiPriority w:val="99"/>
    <w:unhideWhenUsed/>
    <w:rsid w:val="00065414"/>
    <w:rPr>
      <w:color w:val="0563C1" w:themeColor="hyperlink"/>
      <w:u w:val="single"/>
    </w:rPr>
  </w:style>
  <w:style w:type="table" w:customStyle="1" w:styleId="a0">
    <w:basedOn w:val="TableNormal0"/>
    <w:tblPr>
      <w:tblStyleRowBandSize w:val="1"/>
      <w:tblStyleColBandSize w:val="1"/>
      <w:tblCellMar>
        <w:left w:w="115" w:type="dxa"/>
        <w:right w:w="115" w:type="dxa"/>
      </w:tblCellMar>
    </w:tblPr>
  </w:style>
  <w:style w:type="paragraph" w:styleId="NormalWeb">
    <w:name w:val="Normal (Web)"/>
    <w:basedOn w:val="Normal"/>
    <w:uiPriority w:val="99"/>
    <w:unhideWhenUsed/>
    <w:rsid w:val="008557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Odf/pTBZA1D6+b/076PV0znTCg==">AMUW2mWsvammWYPgcy2N/2uXLG/OTs0lJM9aMWnpbkPSG8Mi0zrPhg2ZN17JMst5eOVCK7I7sX1PdQAUBDSzgSEV7zzNE7XFtjFhMsdDniI5CRfBf+0teaCmGWUKBS+EcqwqgCVgo1S8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1050</Words>
  <Characters>5777</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IAIP 10</dc:creator>
  <cp:lastModifiedBy>admin</cp:lastModifiedBy>
  <cp:revision>3</cp:revision>
  <dcterms:created xsi:type="dcterms:W3CDTF">2020-09-14T19:38:00Z</dcterms:created>
  <dcterms:modified xsi:type="dcterms:W3CDTF">2020-09-14T21:33:00Z</dcterms:modified>
</cp:coreProperties>
</file>