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BDC" w:rsidRDefault="00431BDC" w:rsidP="00431BDC">
      <w:pPr>
        <w:rPr>
          <w:lang w:val="es-MX"/>
        </w:rPr>
      </w:pPr>
      <w:r>
        <w:rPr>
          <w:lang w:val="es-MX"/>
        </w:rPr>
        <w:t>Dudas sobre el proceso de evaluación, aplicado a la información oficiosa del Ministerio de Hacienda.</w:t>
      </w:r>
    </w:p>
    <w:p w:rsidR="00440546" w:rsidRDefault="00440546" w:rsidP="00431BDC">
      <w:pPr>
        <w:rPr>
          <w:b/>
          <w:lang w:val="es-MX"/>
        </w:rPr>
      </w:pPr>
    </w:p>
    <w:p w:rsidR="00431BDC" w:rsidRDefault="00440546" w:rsidP="00431BDC">
      <w:pPr>
        <w:rPr>
          <w:b/>
          <w:lang w:val="es-MX"/>
        </w:rPr>
      </w:pPr>
      <w:r>
        <w:rPr>
          <w:b/>
          <w:lang w:val="es-MX"/>
        </w:rPr>
        <w:t>Duda sobre el cálculo de la TA del MH</w:t>
      </w:r>
    </w:p>
    <w:p w:rsidR="00440546" w:rsidRDefault="00440546" w:rsidP="00431BDC">
      <w:pPr>
        <w:rPr>
          <w:lang w:val="es-MX"/>
        </w:rPr>
      </w:pPr>
      <w:r>
        <w:rPr>
          <w:lang w:val="es-MX"/>
        </w:rPr>
        <w:t xml:space="preserve">En lo que corresponde a la evaluación de la UAIP- MH (conocida como la UAIP de la Secretaría de Estado), se observa en la fórmula </w:t>
      </w:r>
      <w:r w:rsidR="009A78CC">
        <w:rPr>
          <w:lang w:val="es-MX"/>
        </w:rPr>
        <w:t xml:space="preserve">de la celda I-123, </w:t>
      </w:r>
      <w:r>
        <w:rPr>
          <w:lang w:val="es-MX"/>
        </w:rPr>
        <w:t>que el puntaje ha sido calculado sobre la base de 32 estándares:</w:t>
      </w:r>
    </w:p>
    <w:p w:rsidR="00440546" w:rsidRDefault="00440546" w:rsidP="00431BDC">
      <w:pPr>
        <w:rPr>
          <w:lang w:val="es-MX"/>
        </w:rPr>
      </w:pPr>
      <w:r>
        <w:rPr>
          <w:lang w:val="es-MX"/>
        </w:rPr>
        <w:t xml:space="preserve">Celda </w:t>
      </w:r>
      <w:r w:rsidRPr="00440546">
        <w:rPr>
          <w:rFonts w:ascii="Times New Roman" w:hAnsi="Times New Roman" w:cs="Times New Roman"/>
          <w:lang w:val="es-MX"/>
        </w:rPr>
        <w:t>I</w:t>
      </w:r>
      <w:r>
        <w:rPr>
          <w:lang w:val="es-MX"/>
        </w:rPr>
        <w:t>-123</w:t>
      </w:r>
    </w:p>
    <w:p w:rsidR="00440546" w:rsidRPr="00440546" w:rsidRDefault="00440546" w:rsidP="00431BDC">
      <w:pPr>
        <w:rPr>
          <w:lang w:val="es-MX"/>
        </w:rPr>
      </w:pPr>
      <w:r>
        <w:rPr>
          <w:noProof/>
          <w:lang w:eastAsia="es-SV"/>
        </w:rPr>
        <w:drawing>
          <wp:inline distT="0" distB="0" distL="0" distR="0" wp14:anchorId="35942318" wp14:editId="4BAB0F99">
            <wp:extent cx="5612130" cy="1559560"/>
            <wp:effectExtent l="19050" t="19050" r="26670" b="215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12130" cy="1559560"/>
                    </a:xfrm>
                    <a:prstGeom prst="rect">
                      <a:avLst/>
                    </a:prstGeom>
                    <a:ln>
                      <a:solidFill>
                        <a:schemeClr val="accent1"/>
                      </a:solidFill>
                    </a:ln>
                  </pic:spPr>
                </pic:pic>
              </a:graphicData>
            </a:graphic>
          </wp:inline>
        </w:drawing>
      </w:r>
    </w:p>
    <w:p w:rsidR="00440546" w:rsidRPr="00440546" w:rsidRDefault="00440546" w:rsidP="00431BDC">
      <w:pPr>
        <w:rPr>
          <w:b/>
          <w:lang w:val="es-MX"/>
        </w:rPr>
      </w:pPr>
      <w:r>
        <w:rPr>
          <w:lang w:val="es-MX"/>
        </w:rPr>
        <w:t xml:space="preserve">Sin embargo, al analizar los estándares evaluados son solo </w:t>
      </w:r>
      <w:r>
        <w:rPr>
          <w:b/>
          <w:lang w:val="es-MX"/>
        </w:rPr>
        <w:t>31</w:t>
      </w:r>
    </w:p>
    <w:p w:rsidR="00440546" w:rsidRDefault="00440546" w:rsidP="00431BDC">
      <w:pPr>
        <w:rPr>
          <w:lang w:val="es-MX"/>
        </w:rPr>
      </w:pPr>
      <w:r>
        <w:rPr>
          <w:lang w:val="es-MX"/>
        </w:rPr>
        <w:t xml:space="preserve">Estándares comunes: </w:t>
      </w:r>
      <w:r>
        <w:rPr>
          <w:lang w:val="es-MX"/>
        </w:rPr>
        <w:tab/>
      </w:r>
      <w:r>
        <w:rPr>
          <w:lang w:val="es-MX"/>
        </w:rPr>
        <w:tab/>
      </w:r>
      <w:r>
        <w:rPr>
          <w:lang w:val="es-MX"/>
        </w:rPr>
        <w:tab/>
      </w:r>
      <w:r>
        <w:rPr>
          <w:lang w:val="es-MX"/>
        </w:rPr>
        <w:tab/>
      </w:r>
      <w:r>
        <w:rPr>
          <w:lang w:val="es-MX"/>
        </w:rPr>
        <w:tab/>
        <w:t>29</w:t>
      </w:r>
    </w:p>
    <w:p w:rsidR="00440546" w:rsidRPr="00440546" w:rsidRDefault="00440546" w:rsidP="00440546">
      <w:pPr>
        <w:rPr>
          <w:u w:val="single"/>
          <w:lang w:val="es-MX"/>
        </w:rPr>
      </w:pPr>
      <w:r>
        <w:rPr>
          <w:lang w:val="es-MX"/>
        </w:rPr>
        <w:t>Más estándares del MH</w:t>
      </w:r>
      <w:r>
        <w:rPr>
          <w:lang w:val="es-MX"/>
        </w:rPr>
        <w:tab/>
      </w:r>
      <w:r>
        <w:rPr>
          <w:lang w:val="es-MX"/>
        </w:rPr>
        <w:tab/>
      </w:r>
      <w:r>
        <w:rPr>
          <w:lang w:val="es-MX"/>
        </w:rPr>
        <w:tab/>
      </w:r>
      <w:r>
        <w:rPr>
          <w:lang w:val="es-MX"/>
        </w:rPr>
        <w:tab/>
      </w:r>
      <w:proofErr w:type="gramStart"/>
      <w:r>
        <w:rPr>
          <w:lang w:val="es-MX"/>
        </w:rPr>
        <w:tab/>
      </w:r>
      <w:r w:rsidRPr="00440546">
        <w:rPr>
          <w:u w:val="single"/>
          <w:lang w:val="es-MX"/>
        </w:rPr>
        <w:t xml:space="preserve">  2</w:t>
      </w:r>
      <w:proofErr w:type="gramEnd"/>
    </w:p>
    <w:p w:rsidR="00440546" w:rsidRPr="00440546" w:rsidRDefault="00440546" w:rsidP="00440546">
      <w:pPr>
        <w:ind w:firstLine="708"/>
        <w:rPr>
          <w:lang w:val="es-MX"/>
        </w:rPr>
      </w:pPr>
      <w:r w:rsidRPr="00440546">
        <w:rPr>
          <w:lang w:val="es-MX"/>
        </w:rPr>
        <w:t>32. Ejecución presupuestaria del Estado</w:t>
      </w:r>
    </w:p>
    <w:p w:rsidR="00440546" w:rsidRDefault="00440546" w:rsidP="00440546">
      <w:pPr>
        <w:ind w:firstLine="708"/>
        <w:rPr>
          <w:lang w:val="es-MX"/>
        </w:rPr>
      </w:pPr>
      <w:r w:rsidRPr="00440546">
        <w:rPr>
          <w:lang w:val="es-MX"/>
        </w:rPr>
        <w:t>33. Deuda política</w:t>
      </w:r>
    </w:p>
    <w:p w:rsidR="00440546" w:rsidRPr="00440546" w:rsidRDefault="00440546" w:rsidP="00440546">
      <w:pPr>
        <w:rPr>
          <w:lang w:val="es-MX"/>
        </w:rPr>
      </w:pPr>
      <w:r>
        <w:rPr>
          <w:lang w:val="es-MX"/>
        </w:rPr>
        <w:t>Total &gt;&gt;&gt;&gt;&gt;&gt;&gt;&gt;&gt;&gt;&gt;&gt;&gt;&gt;&gt;&gt;&gt;&gt;&gt;&gt;&gt;&gt;&gt;&gt;&gt;&gt;&gt;&gt;&gt;&gt;&gt;&gt;&gt;&gt;&gt;         31</w:t>
      </w:r>
    </w:p>
    <w:p w:rsidR="00440546" w:rsidRPr="00440546" w:rsidRDefault="00440546" w:rsidP="00440546">
      <w:pPr>
        <w:rPr>
          <w:lang w:val="es-MX"/>
        </w:rPr>
      </w:pPr>
      <w:r>
        <w:rPr>
          <w:lang w:val="es-MX"/>
        </w:rPr>
        <w:t>Al corregir la fórmula se modifica el resultado de la evaluación.</w:t>
      </w:r>
    </w:p>
    <w:p w:rsidR="00440546" w:rsidRPr="00440546" w:rsidRDefault="00440546" w:rsidP="00440546">
      <w:pPr>
        <w:rPr>
          <w:lang w:val="es-MX"/>
        </w:rPr>
      </w:pPr>
    </w:p>
    <w:p w:rsidR="00431BDC" w:rsidRDefault="00431BDC" w:rsidP="00431BDC">
      <w:pPr>
        <w:rPr>
          <w:b/>
          <w:lang w:val="es-MX"/>
        </w:rPr>
      </w:pPr>
      <w:r>
        <w:rPr>
          <w:b/>
          <w:lang w:val="es-MX"/>
        </w:rPr>
        <w:t xml:space="preserve">Estándar </w:t>
      </w:r>
      <w:r w:rsidR="007F0452">
        <w:rPr>
          <w:b/>
          <w:lang w:val="es-MX"/>
        </w:rPr>
        <w:t xml:space="preserve">2, </w:t>
      </w:r>
      <w:r>
        <w:rPr>
          <w:b/>
          <w:lang w:val="es-MX"/>
        </w:rPr>
        <w:t>estructura orgánica.</w:t>
      </w:r>
    </w:p>
    <w:p w:rsidR="00431BDC" w:rsidRDefault="00431BDC" w:rsidP="00431BDC">
      <w:pPr>
        <w:rPr>
          <w:lang w:val="es-MX"/>
        </w:rPr>
      </w:pPr>
      <w:r>
        <w:rPr>
          <w:lang w:val="es-MX"/>
        </w:rPr>
        <w:t>Según la evaluación</w:t>
      </w:r>
      <w:r w:rsidR="00921B6E">
        <w:rPr>
          <w:lang w:val="es-MX"/>
        </w:rPr>
        <w:t xml:space="preserve"> se perdieron todos los puntos del estándar por las siguientes razones</w:t>
      </w:r>
      <w:r>
        <w:rPr>
          <w:lang w:val="es-MX"/>
        </w:rPr>
        <w:t>:</w:t>
      </w:r>
    </w:p>
    <w:p w:rsidR="00431BDC" w:rsidRDefault="00431BDC" w:rsidP="00431BDC">
      <w:pPr>
        <w:pStyle w:val="Prrafodelista"/>
        <w:numPr>
          <w:ilvl w:val="0"/>
          <w:numId w:val="3"/>
        </w:numPr>
        <w:rPr>
          <w:lang w:val="es-MX"/>
        </w:rPr>
      </w:pPr>
      <w:r>
        <w:rPr>
          <w:lang w:val="es-MX"/>
        </w:rPr>
        <w:t>No se observa la información del 2017</w:t>
      </w:r>
    </w:p>
    <w:p w:rsidR="00431BDC" w:rsidRDefault="00431BDC" w:rsidP="00431BDC">
      <w:pPr>
        <w:pStyle w:val="Prrafodelista"/>
        <w:numPr>
          <w:ilvl w:val="0"/>
          <w:numId w:val="3"/>
        </w:numPr>
        <w:rPr>
          <w:lang w:val="es-MX"/>
        </w:rPr>
      </w:pPr>
      <w:r>
        <w:rPr>
          <w:lang w:val="es-MX"/>
        </w:rPr>
        <w:t>Solo hay un documento publicado para el 2018</w:t>
      </w:r>
    </w:p>
    <w:p w:rsidR="00431BDC" w:rsidRPr="00921B6E" w:rsidRDefault="00431BDC" w:rsidP="00431BDC">
      <w:pPr>
        <w:rPr>
          <w:b/>
          <w:lang w:val="es-MX"/>
        </w:rPr>
      </w:pPr>
      <w:r w:rsidRPr="00921B6E">
        <w:rPr>
          <w:b/>
          <w:lang w:val="es-MX"/>
        </w:rPr>
        <w:t>Comentario de la UAIP:</w:t>
      </w:r>
    </w:p>
    <w:p w:rsidR="00431BDC" w:rsidRDefault="00431BDC" w:rsidP="00431BDC">
      <w:pPr>
        <w:rPr>
          <w:lang w:val="es-MX"/>
        </w:rPr>
      </w:pPr>
      <w:r>
        <w:rPr>
          <w:lang w:val="es-MX"/>
        </w:rPr>
        <w:t>El estándar de estructura orgánica se presenta en 2 pestañas en la página web, la primera pestaña es la información vigente y que se presenta a la vista del usuario, la segunda pestaña es la que corresponde a los documentos históricos, que perdieron vigencia pero que se pueden consultar en línea.</w:t>
      </w:r>
    </w:p>
    <w:p w:rsidR="00921B6E" w:rsidRDefault="00431BDC" w:rsidP="00431BDC">
      <w:pPr>
        <w:rPr>
          <w:lang w:val="es-MX"/>
        </w:rPr>
      </w:pPr>
      <w:r>
        <w:rPr>
          <w:lang w:val="es-MX"/>
        </w:rPr>
        <w:lastRenderedPageBreak/>
        <w:t xml:space="preserve">En dicho apartado se ha publicado el organigrama institucional que </w:t>
      </w:r>
      <w:r w:rsidR="00921B6E">
        <w:rPr>
          <w:lang w:val="es-MX"/>
        </w:rPr>
        <w:t>fue aprobado en</w:t>
      </w:r>
      <w:r>
        <w:rPr>
          <w:lang w:val="es-MX"/>
        </w:rPr>
        <w:t xml:space="preserve"> el 2016 </w:t>
      </w:r>
      <w:r w:rsidR="00921B6E">
        <w:rPr>
          <w:lang w:val="es-MX"/>
        </w:rPr>
        <w:t>y estuvo vigente en el 2017, más las respectivas actas de aclaración de no cambio a dicho organigrama.</w:t>
      </w:r>
    </w:p>
    <w:p w:rsidR="00431BDC" w:rsidRDefault="00921B6E" w:rsidP="00431BDC">
      <w:pPr>
        <w:rPr>
          <w:lang w:val="es-MX"/>
        </w:rPr>
      </w:pPr>
      <w:r>
        <w:rPr>
          <w:lang w:val="es-MX"/>
        </w:rPr>
        <w:t>También</w:t>
      </w:r>
      <w:r w:rsidR="00431BDC">
        <w:rPr>
          <w:lang w:val="es-MX"/>
        </w:rPr>
        <w:t xml:space="preserve"> se han publicado en dicha pestaña las diferentes actualizaciones </w:t>
      </w:r>
      <w:r>
        <w:rPr>
          <w:lang w:val="es-MX"/>
        </w:rPr>
        <w:t>que reportaron las unidades organizativas en cuanto al número de empleados por cada subsección</w:t>
      </w:r>
    </w:p>
    <w:p w:rsidR="00431BDC" w:rsidRDefault="006C6421" w:rsidP="00431BDC">
      <w:pPr>
        <w:rPr>
          <w:lang w:val="es-MX"/>
        </w:rPr>
      </w:pPr>
      <w:hyperlink r:id="rId6" w:anchor="UAIP-10794" w:history="1">
        <w:r w:rsidR="00431BDC" w:rsidRPr="005B2A2B">
          <w:rPr>
            <w:rStyle w:val="Hipervnculo"/>
            <w:lang w:val="es-MX"/>
          </w:rPr>
          <w:t>https://www.mh.gob.sv/pmh/es/Temas/Ley_de_Acceso_a_la_Informacion_Publica/Marco_Normativo/Estructura_Organica.html#UAIP-10794</w:t>
        </w:r>
      </w:hyperlink>
    </w:p>
    <w:p w:rsidR="00431BDC" w:rsidRDefault="00431BDC" w:rsidP="00431BDC">
      <w:pPr>
        <w:rPr>
          <w:lang w:val="es-MX"/>
        </w:rPr>
      </w:pPr>
      <w:r>
        <w:rPr>
          <w:noProof/>
          <w:lang w:eastAsia="es-SV"/>
        </w:rPr>
        <w:drawing>
          <wp:inline distT="0" distB="0" distL="0" distR="0" wp14:anchorId="426E607B" wp14:editId="389CD283">
            <wp:extent cx="4330700" cy="3441334"/>
            <wp:effectExtent l="19050" t="19050" r="12700" b="260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4338425" cy="3447472"/>
                    </a:xfrm>
                    <a:prstGeom prst="rect">
                      <a:avLst/>
                    </a:prstGeom>
                    <a:ln>
                      <a:solidFill>
                        <a:schemeClr val="accent1"/>
                      </a:solidFill>
                    </a:ln>
                  </pic:spPr>
                </pic:pic>
              </a:graphicData>
            </a:graphic>
          </wp:inline>
        </w:drawing>
      </w:r>
    </w:p>
    <w:p w:rsidR="00431BDC" w:rsidRDefault="00921B6E" w:rsidP="00431BDC">
      <w:pPr>
        <w:rPr>
          <w:lang w:val="es-MX"/>
        </w:rPr>
      </w:pPr>
      <w:r>
        <w:rPr>
          <w:lang w:val="es-MX"/>
        </w:rPr>
        <w:t xml:space="preserve">Por otra parte, se consulta el motivo de la perdida de todos los puntos del estándar, </w:t>
      </w:r>
      <w:proofErr w:type="spellStart"/>
      <w:r>
        <w:rPr>
          <w:lang w:val="es-MX"/>
        </w:rPr>
        <w:t>aún</w:t>
      </w:r>
      <w:proofErr w:type="spellEnd"/>
      <w:r>
        <w:rPr>
          <w:lang w:val="es-MX"/>
        </w:rPr>
        <w:t xml:space="preserve"> cuando la información se encuentra actualizada, ya que el instructivo para el proceso de evaluación en el apartado V. Transparencia Activa, sección A, considera que en caso de incumplimiento por periodos de actualización o la falta de algún requisito conlleva la </w:t>
      </w:r>
      <w:r w:rsidR="00C92228">
        <w:rPr>
          <w:lang w:val="es-MX"/>
        </w:rPr>
        <w:t>pérdida</w:t>
      </w:r>
      <w:r>
        <w:rPr>
          <w:lang w:val="es-MX"/>
        </w:rPr>
        <w:t xml:space="preserve"> parcial de puntos, no la totalidad del estándar.</w:t>
      </w:r>
    </w:p>
    <w:p w:rsidR="00921B6E" w:rsidRDefault="00921B6E" w:rsidP="00431BDC">
      <w:pPr>
        <w:rPr>
          <w:b/>
          <w:lang w:val="es-MX"/>
        </w:rPr>
      </w:pPr>
    </w:p>
    <w:p w:rsidR="00921B6E" w:rsidRDefault="00921B6E" w:rsidP="00431BDC">
      <w:pPr>
        <w:rPr>
          <w:b/>
          <w:lang w:val="es-MX"/>
        </w:rPr>
      </w:pPr>
      <w:r>
        <w:rPr>
          <w:b/>
          <w:lang w:val="es-MX"/>
        </w:rPr>
        <w:t xml:space="preserve">Estándar </w:t>
      </w:r>
      <w:proofErr w:type="gramStart"/>
      <w:r w:rsidR="007F0452">
        <w:rPr>
          <w:b/>
          <w:lang w:val="es-MX"/>
        </w:rPr>
        <w:t xml:space="preserve">4, </w:t>
      </w:r>
      <w:r>
        <w:rPr>
          <w:b/>
          <w:lang w:val="es-MX"/>
        </w:rPr>
        <w:t xml:space="preserve"> Presupuesto</w:t>
      </w:r>
      <w:proofErr w:type="gramEnd"/>
    </w:p>
    <w:p w:rsidR="00921B6E" w:rsidRDefault="00B11520" w:rsidP="00431BDC">
      <w:pPr>
        <w:rPr>
          <w:lang w:val="es-MX"/>
        </w:rPr>
      </w:pPr>
      <w:r>
        <w:rPr>
          <w:lang w:val="es-MX"/>
        </w:rPr>
        <w:t xml:space="preserve">En el apartado 4.4 </w:t>
      </w:r>
      <w:r>
        <w:rPr>
          <w:b/>
          <w:lang w:val="es-MX"/>
        </w:rPr>
        <w:t>Ejecución en plantilla aparte / Publicar informes contables semestrales</w:t>
      </w:r>
      <w:r>
        <w:rPr>
          <w:lang w:val="es-MX"/>
        </w:rPr>
        <w:t xml:space="preserve">, se ha calificado con cero, por no tener información de los meses de noviembre y diciembre 2017, ya que según los comentarios “pero la del 2017 solo hace mención hasta julio y </w:t>
      </w:r>
      <w:r w:rsidRPr="00B11520">
        <w:rPr>
          <w:b/>
          <w:lang w:val="es-MX"/>
        </w:rPr>
        <w:t>octubre</w:t>
      </w:r>
      <w:r>
        <w:rPr>
          <w:lang w:val="es-MX"/>
        </w:rPr>
        <w:t xml:space="preserve">” y añade otro comentario de actualización “no se observa la </w:t>
      </w:r>
      <w:r w:rsidRPr="00B11520">
        <w:rPr>
          <w:b/>
          <w:lang w:val="es-MX"/>
        </w:rPr>
        <w:t>actualización de octubre 2017</w:t>
      </w:r>
      <w:r>
        <w:rPr>
          <w:lang w:val="es-MX"/>
        </w:rPr>
        <w:t xml:space="preserve">” </w:t>
      </w:r>
      <w:r w:rsidR="00A90CAF">
        <w:rPr>
          <w:lang w:val="es-MX"/>
        </w:rPr>
        <w:t>por lo que queda duda cual fue el criterio de verificación</w:t>
      </w:r>
    </w:p>
    <w:p w:rsidR="00B11520" w:rsidRDefault="00B11520" w:rsidP="00431BDC">
      <w:pPr>
        <w:rPr>
          <w:lang w:val="es-MX"/>
        </w:rPr>
      </w:pPr>
    </w:p>
    <w:p w:rsidR="00B11520" w:rsidRPr="00B11520" w:rsidRDefault="00B11520" w:rsidP="00431BDC">
      <w:pPr>
        <w:rPr>
          <w:b/>
          <w:lang w:val="es-MX"/>
        </w:rPr>
      </w:pPr>
      <w:r w:rsidRPr="00B11520">
        <w:rPr>
          <w:b/>
          <w:lang w:val="es-MX"/>
        </w:rPr>
        <w:lastRenderedPageBreak/>
        <w:t>Comentario UAIP</w:t>
      </w:r>
    </w:p>
    <w:p w:rsidR="00921B6E" w:rsidRDefault="00B11520" w:rsidP="00431BDC">
      <w:pPr>
        <w:rPr>
          <w:lang w:val="es-MX"/>
        </w:rPr>
      </w:pPr>
      <w:r>
        <w:rPr>
          <w:lang w:val="es-MX"/>
        </w:rPr>
        <w:t xml:space="preserve">El </w:t>
      </w:r>
      <w:r w:rsidR="00A90CAF">
        <w:rPr>
          <w:lang w:val="es-MX"/>
        </w:rPr>
        <w:t>apartado</w:t>
      </w:r>
      <w:r>
        <w:rPr>
          <w:lang w:val="es-MX"/>
        </w:rPr>
        <w:t xml:space="preserve"> 4.4. claramente indica que corresponde a los </w:t>
      </w:r>
      <w:r w:rsidRPr="00A90CAF">
        <w:rPr>
          <w:b/>
          <w:lang w:val="es-MX"/>
        </w:rPr>
        <w:t>informes contables semestrales</w:t>
      </w:r>
      <w:r>
        <w:rPr>
          <w:lang w:val="es-MX"/>
        </w:rPr>
        <w:t>, los cuales están publicados en la información oficiosa que provee el contador institucional y que está disponible para consulta en:</w:t>
      </w:r>
    </w:p>
    <w:p w:rsidR="00B11520" w:rsidRDefault="006C6421" w:rsidP="00431BDC">
      <w:pPr>
        <w:rPr>
          <w:lang w:val="es-MX"/>
        </w:rPr>
      </w:pPr>
      <w:hyperlink r:id="rId9" w:history="1">
        <w:r w:rsidR="00B11520" w:rsidRPr="005B2A2B">
          <w:rPr>
            <w:rStyle w:val="Hipervnculo"/>
            <w:lang w:val="es-MX"/>
          </w:rPr>
          <w:t>https://www.mh.gob.sv/pmh/es/Temas/Ley_de_Acceso_a_la_Informacion_Publica/Marco_Presupuestario/Estados_Financieros.html</w:t>
        </w:r>
      </w:hyperlink>
    </w:p>
    <w:p w:rsidR="00B11520" w:rsidRDefault="00B11520" w:rsidP="00431BDC">
      <w:pPr>
        <w:rPr>
          <w:lang w:val="es-MX"/>
        </w:rPr>
      </w:pPr>
    </w:p>
    <w:p w:rsidR="00B11520" w:rsidRDefault="00B11520" w:rsidP="00431BDC">
      <w:pPr>
        <w:rPr>
          <w:lang w:val="es-MX"/>
        </w:rPr>
      </w:pPr>
      <w:r>
        <w:rPr>
          <w:lang w:val="es-MX"/>
        </w:rPr>
        <w:t>En esta sección puede encontrarse los informes de ejecución presupuestaria del segundo semestre del año 2017:</w:t>
      </w:r>
    </w:p>
    <w:p w:rsidR="00B11520" w:rsidRDefault="00B11520" w:rsidP="00431BDC">
      <w:pPr>
        <w:rPr>
          <w:lang w:val="es-MX"/>
        </w:rPr>
      </w:pPr>
      <w:r>
        <w:rPr>
          <w:noProof/>
          <w:lang w:eastAsia="es-SV"/>
        </w:rPr>
        <w:drawing>
          <wp:inline distT="0" distB="0" distL="0" distR="0" wp14:anchorId="2A5CBC4C" wp14:editId="4B92E4CD">
            <wp:extent cx="5612130" cy="1870710"/>
            <wp:effectExtent l="19050" t="19050" r="26670" b="152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Lst>
                    </a:blip>
                    <a:stretch>
                      <a:fillRect/>
                    </a:stretch>
                  </pic:blipFill>
                  <pic:spPr>
                    <a:xfrm>
                      <a:off x="0" y="0"/>
                      <a:ext cx="5612130" cy="1870710"/>
                    </a:xfrm>
                    <a:prstGeom prst="rect">
                      <a:avLst/>
                    </a:prstGeom>
                    <a:ln>
                      <a:solidFill>
                        <a:schemeClr val="accent1"/>
                      </a:solidFill>
                    </a:ln>
                  </pic:spPr>
                </pic:pic>
              </a:graphicData>
            </a:graphic>
          </wp:inline>
        </w:drawing>
      </w:r>
    </w:p>
    <w:p w:rsidR="00B11520" w:rsidRDefault="00B11520" w:rsidP="00431BDC">
      <w:pPr>
        <w:rPr>
          <w:lang w:val="es-MX"/>
        </w:rPr>
      </w:pPr>
    </w:p>
    <w:p w:rsidR="00A90CAF" w:rsidRPr="00A90CAF" w:rsidRDefault="00A90CAF" w:rsidP="00A90CAF">
      <w:pPr>
        <w:rPr>
          <w:b/>
          <w:lang w:val="es-MX"/>
        </w:rPr>
      </w:pPr>
      <w:r>
        <w:rPr>
          <w:b/>
          <w:lang w:val="es-MX"/>
        </w:rPr>
        <w:t>Estándar</w:t>
      </w:r>
      <w:r w:rsidR="007F0452">
        <w:rPr>
          <w:b/>
          <w:lang w:val="es-MX"/>
        </w:rPr>
        <w:t xml:space="preserve"> 5,</w:t>
      </w:r>
      <w:r>
        <w:rPr>
          <w:b/>
          <w:lang w:val="es-MX"/>
        </w:rPr>
        <w:t xml:space="preserve"> </w:t>
      </w:r>
      <w:r w:rsidRPr="00A90CAF">
        <w:rPr>
          <w:b/>
          <w:lang w:val="es-MX"/>
        </w:rPr>
        <w:t>Procedimientos de selección</w:t>
      </w:r>
    </w:p>
    <w:p w:rsidR="00B11520" w:rsidRDefault="00A90CAF" w:rsidP="00431BDC">
      <w:pPr>
        <w:rPr>
          <w:lang w:val="es-MX"/>
        </w:rPr>
      </w:pPr>
      <w:r>
        <w:rPr>
          <w:lang w:val="es-MX"/>
        </w:rPr>
        <w:t>En el apartado 5.1, se califica con cero, por la ausencia de manual que indique el proceso de contratación de personal y añaden que tampoco está publicado en la normativa institucional.</w:t>
      </w:r>
    </w:p>
    <w:p w:rsidR="00A90CAF" w:rsidRPr="00A90CAF" w:rsidRDefault="00A90CAF" w:rsidP="00431BDC">
      <w:pPr>
        <w:rPr>
          <w:b/>
          <w:lang w:val="es-MX"/>
        </w:rPr>
      </w:pPr>
      <w:r w:rsidRPr="00A90CAF">
        <w:rPr>
          <w:b/>
          <w:lang w:val="es-MX"/>
        </w:rPr>
        <w:t>Comentario UAIP:</w:t>
      </w:r>
    </w:p>
    <w:p w:rsidR="00A90CAF" w:rsidRDefault="00A90CAF" w:rsidP="00431BDC">
      <w:pPr>
        <w:rPr>
          <w:lang w:val="es-MX"/>
        </w:rPr>
      </w:pPr>
      <w:r>
        <w:rPr>
          <w:lang w:val="es-MX"/>
        </w:rPr>
        <w:t>En la información oficiosa del Ministerio de Hacienda, se ha publicado un manual orientativo al público sobre el proceso a seguir para aplicar a una plaza en el Ministerio de Hacienda.</w:t>
      </w:r>
    </w:p>
    <w:p w:rsidR="00A90CAF" w:rsidRDefault="006C6421" w:rsidP="00431BDC">
      <w:pPr>
        <w:rPr>
          <w:lang w:val="es-MX"/>
        </w:rPr>
      </w:pPr>
      <w:hyperlink r:id="rId12" w:history="1">
        <w:r w:rsidR="00A90CAF" w:rsidRPr="005B2A2B">
          <w:rPr>
            <w:rStyle w:val="Hipervnculo"/>
            <w:lang w:val="es-MX"/>
          </w:rPr>
          <w:t>https://www.mh.gob.sv/pmh/es/Temas/Ley_de_Acceso_a_la_Informacion_Publica/Marco_Normativo/Seleccion_y_Contratacion_de_Personal.html</w:t>
        </w:r>
      </w:hyperlink>
    </w:p>
    <w:p w:rsidR="00A90CAF" w:rsidRDefault="00A90CAF" w:rsidP="00431BDC">
      <w:pPr>
        <w:rPr>
          <w:lang w:val="es-MX"/>
        </w:rPr>
      </w:pPr>
      <w:r>
        <w:rPr>
          <w:noProof/>
          <w:lang w:eastAsia="es-SV"/>
        </w:rPr>
        <w:drawing>
          <wp:inline distT="0" distB="0" distL="0" distR="0" wp14:anchorId="23EA635E" wp14:editId="1F2FA8DE">
            <wp:extent cx="5612130" cy="951865"/>
            <wp:effectExtent l="0" t="0" r="762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2130" cy="951865"/>
                    </a:xfrm>
                    <a:prstGeom prst="rect">
                      <a:avLst/>
                    </a:prstGeom>
                  </pic:spPr>
                </pic:pic>
              </a:graphicData>
            </a:graphic>
          </wp:inline>
        </w:drawing>
      </w:r>
    </w:p>
    <w:p w:rsidR="00A90CAF" w:rsidRDefault="00A90CAF" w:rsidP="00431BDC">
      <w:pPr>
        <w:rPr>
          <w:lang w:val="es-MX"/>
        </w:rPr>
      </w:pPr>
    </w:p>
    <w:p w:rsidR="00A90CAF" w:rsidRDefault="00A90CAF" w:rsidP="00431BDC">
      <w:pPr>
        <w:rPr>
          <w:lang w:val="es-MX"/>
        </w:rPr>
      </w:pPr>
      <w:r>
        <w:rPr>
          <w:lang w:val="es-MX"/>
        </w:rPr>
        <w:lastRenderedPageBreak/>
        <w:t>Adicionalmente, se ha publicado en la normativa interna el procedimiento oficial que detalla los requisitos a cumplirse en la selección de personal, así como el listado de los funcionarios que intervienen junto con las responsabilidades que deben cumplir en dicho proceso.</w:t>
      </w:r>
    </w:p>
    <w:p w:rsidR="00A90CAF" w:rsidRDefault="006C6421" w:rsidP="00431BDC">
      <w:pPr>
        <w:rPr>
          <w:lang w:val="es-MX"/>
        </w:rPr>
      </w:pPr>
      <w:hyperlink r:id="rId14" w:history="1">
        <w:r w:rsidR="00A90CAF" w:rsidRPr="005B2A2B">
          <w:rPr>
            <w:rStyle w:val="Hipervnculo"/>
            <w:lang w:val="es-MX"/>
          </w:rPr>
          <w:t>https://www.mh.gob.sv/pmh/es/Temas/Ley_de_Acceso_a_la_Informacion_Publica/Marco_Normativo/Normativa_Interna/Soporte_Institucional.html</w:t>
        </w:r>
      </w:hyperlink>
    </w:p>
    <w:p w:rsidR="00A90CAF" w:rsidRDefault="00440546" w:rsidP="00431BDC">
      <w:pPr>
        <w:rPr>
          <w:lang w:val="es-MX"/>
        </w:rPr>
      </w:pPr>
      <w:r>
        <w:rPr>
          <w:noProof/>
          <w:lang w:eastAsia="es-SV"/>
        </w:rPr>
        <w:drawing>
          <wp:inline distT="0" distB="0" distL="0" distR="0" wp14:anchorId="3FC97AEE" wp14:editId="4A182B5D">
            <wp:extent cx="5612130" cy="3187700"/>
            <wp:effectExtent l="19050" t="19050" r="26670" b="1270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12130" cy="3187700"/>
                    </a:xfrm>
                    <a:prstGeom prst="rect">
                      <a:avLst/>
                    </a:prstGeom>
                    <a:ln>
                      <a:solidFill>
                        <a:schemeClr val="accent1"/>
                      </a:solidFill>
                    </a:ln>
                  </pic:spPr>
                </pic:pic>
              </a:graphicData>
            </a:graphic>
          </wp:inline>
        </w:drawing>
      </w:r>
    </w:p>
    <w:p w:rsidR="00A90CAF" w:rsidRDefault="00A90CAF" w:rsidP="00431BDC">
      <w:pPr>
        <w:rPr>
          <w:lang w:val="es-MX"/>
        </w:rPr>
      </w:pPr>
    </w:p>
    <w:p w:rsidR="00532699" w:rsidRPr="00532699" w:rsidRDefault="00532699" w:rsidP="00431BDC">
      <w:pPr>
        <w:rPr>
          <w:b/>
          <w:lang w:val="es-MX"/>
        </w:rPr>
      </w:pPr>
      <w:r w:rsidRPr="00532699">
        <w:rPr>
          <w:b/>
          <w:lang w:val="es-MX"/>
        </w:rPr>
        <w:t xml:space="preserve">Estándar </w:t>
      </w:r>
      <w:r w:rsidR="007F0452">
        <w:rPr>
          <w:b/>
          <w:lang w:val="es-MX"/>
        </w:rPr>
        <w:t>10, S</w:t>
      </w:r>
      <w:r w:rsidRPr="00532699">
        <w:rPr>
          <w:b/>
          <w:lang w:val="es-MX"/>
        </w:rPr>
        <w:t>ervicios</w:t>
      </w:r>
      <w:r w:rsidR="007F0452">
        <w:rPr>
          <w:b/>
          <w:lang w:val="es-MX"/>
        </w:rPr>
        <w:t>.</w:t>
      </w:r>
    </w:p>
    <w:p w:rsidR="00532699" w:rsidRDefault="00532699" w:rsidP="00532699">
      <w:pPr>
        <w:jc w:val="both"/>
        <w:rPr>
          <w:lang w:val="es-MX"/>
        </w:rPr>
      </w:pPr>
      <w:r>
        <w:rPr>
          <w:lang w:val="es-MX"/>
        </w:rPr>
        <w:t xml:space="preserve">Según el documento de evaluación se perdieron todos los puntos del estándar porque la </w:t>
      </w:r>
      <w:r w:rsidR="00C92228">
        <w:rPr>
          <w:lang w:val="es-MX"/>
        </w:rPr>
        <w:t>información está desactualizada.</w:t>
      </w:r>
    </w:p>
    <w:p w:rsidR="00532699" w:rsidRPr="00532699" w:rsidRDefault="00532699" w:rsidP="00532699">
      <w:pPr>
        <w:jc w:val="both"/>
        <w:rPr>
          <w:b/>
          <w:lang w:val="es-MX"/>
        </w:rPr>
      </w:pPr>
      <w:r w:rsidRPr="00532699">
        <w:rPr>
          <w:b/>
          <w:lang w:val="es-MX"/>
        </w:rPr>
        <w:t>Comentario de la UAIP:</w:t>
      </w:r>
    </w:p>
    <w:p w:rsidR="00532699" w:rsidRDefault="00C92228" w:rsidP="00532699">
      <w:pPr>
        <w:jc w:val="both"/>
        <w:rPr>
          <w:lang w:val="es-MX"/>
        </w:rPr>
      </w:pPr>
      <w:r>
        <w:rPr>
          <w:lang w:val="es-MX"/>
        </w:rPr>
        <w:t>El Ministerio de Hacienda, ha publicado 235 servicios y la información publicada</w:t>
      </w:r>
      <w:r w:rsidR="00532699">
        <w:rPr>
          <w:lang w:val="es-MX"/>
        </w:rPr>
        <w:t xml:space="preserve"> corresp</w:t>
      </w:r>
      <w:r>
        <w:rPr>
          <w:lang w:val="es-MX"/>
        </w:rPr>
        <w:t>onde</w:t>
      </w:r>
      <w:r w:rsidR="00532699">
        <w:rPr>
          <w:lang w:val="es-MX"/>
        </w:rPr>
        <w:t xml:space="preserve"> a los </w:t>
      </w:r>
      <w:r>
        <w:rPr>
          <w:lang w:val="es-MX"/>
        </w:rPr>
        <w:t>requisitos y orientación vigente</w:t>
      </w:r>
      <w:r w:rsidR="00532699">
        <w:rPr>
          <w:lang w:val="es-MX"/>
        </w:rPr>
        <w:t xml:space="preserve"> </w:t>
      </w:r>
      <w:r>
        <w:rPr>
          <w:lang w:val="es-MX"/>
        </w:rPr>
        <w:t>para acceder a ellos.   E</w:t>
      </w:r>
      <w:r w:rsidR="00532699">
        <w:rPr>
          <w:lang w:val="es-MX"/>
        </w:rPr>
        <w:t>n particular no se publican servicios desfasados porque tienden a confundir al público que los busca a través de Google u otro enlace externo.</w:t>
      </w:r>
    </w:p>
    <w:p w:rsidR="00532699" w:rsidRDefault="00532699" w:rsidP="00532699">
      <w:pPr>
        <w:jc w:val="both"/>
        <w:rPr>
          <w:lang w:val="es-MX"/>
        </w:rPr>
      </w:pPr>
      <w:r>
        <w:rPr>
          <w:lang w:val="es-MX"/>
        </w:rPr>
        <w:t xml:space="preserve">Se enfatiza que la plantilla de servicios del MH cubre todos los requisitos que exige el IAIP </w:t>
      </w:r>
      <w:r w:rsidR="00C92228">
        <w:rPr>
          <w:lang w:val="es-MX"/>
        </w:rPr>
        <w:t>en el lineamento 2 y aún los supera, según se compara:</w:t>
      </w:r>
    </w:p>
    <w:tbl>
      <w:tblPr>
        <w:tblStyle w:val="Tablaconcuadrcula"/>
        <w:tblW w:w="0" w:type="auto"/>
        <w:tblLook w:val="04A0" w:firstRow="1" w:lastRow="0" w:firstColumn="1" w:lastColumn="0" w:noHBand="0" w:noVBand="1"/>
      </w:tblPr>
      <w:tblGrid>
        <w:gridCol w:w="4414"/>
        <w:gridCol w:w="4414"/>
      </w:tblGrid>
      <w:tr w:rsidR="00532699" w:rsidTr="00532699">
        <w:tc>
          <w:tcPr>
            <w:tcW w:w="4414" w:type="dxa"/>
          </w:tcPr>
          <w:p w:rsidR="00532699" w:rsidRDefault="00532699" w:rsidP="00532699">
            <w:pPr>
              <w:jc w:val="both"/>
              <w:rPr>
                <w:lang w:val="es-MX"/>
              </w:rPr>
            </w:pPr>
            <w:r>
              <w:rPr>
                <w:lang w:val="es-MX"/>
              </w:rPr>
              <w:t>Estándar del IAIP, lineamiento 2.</w:t>
            </w:r>
          </w:p>
        </w:tc>
        <w:tc>
          <w:tcPr>
            <w:tcW w:w="4414" w:type="dxa"/>
          </w:tcPr>
          <w:p w:rsidR="00532699" w:rsidRDefault="00532699" w:rsidP="00532699">
            <w:pPr>
              <w:jc w:val="both"/>
              <w:rPr>
                <w:lang w:val="es-MX"/>
              </w:rPr>
            </w:pPr>
            <w:r>
              <w:rPr>
                <w:lang w:val="es-MX"/>
              </w:rPr>
              <w:t>Servicios publicados por el MH</w:t>
            </w:r>
          </w:p>
        </w:tc>
      </w:tr>
      <w:tr w:rsidR="00532699" w:rsidTr="00532699">
        <w:tc>
          <w:tcPr>
            <w:tcW w:w="4414" w:type="dxa"/>
          </w:tcPr>
          <w:p w:rsidR="00532699" w:rsidRDefault="00532699" w:rsidP="00532699">
            <w:pPr>
              <w:pStyle w:val="Prrafodelista"/>
              <w:numPr>
                <w:ilvl w:val="0"/>
                <w:numId w:val="6"/>
              </w:numPr>
            </w:pPr>
            <w:r>
              <w:t>Descripción de los servicios, lugar y horarios de atención</w:t>
            </w:r>
          </w:p>
          <w:p w:rsidR="00532699" w:rsidRDefault="00532699" w:rsidP="00532699">
            <w:pPr>
              <w:pStyle w:val="Prrafodelista"/>
              <w:numPr>
                <w:ilvl w:val="0"/>
                <w:numId w:val="6"/>
              </w:numPr>
            </w:pPr>
            <w:r>
              <w:t>Requisitos</w:t>
            </w:r>
          </w:p>
          <w:p w:rsidR="00532699" w:rsidRDefault="00532699" w:rsidP="00532699">
            <w:pPr>
              <w:pStyle w:val="Prrafodelista"/>
              <w:numPr>
                <w:ilvl w:val="0"/>
                <w:numId w:val="6"/>
              </w:numPr>
            </w:pPr>
            <w:r>
              <w:t>Tiempo de respuesta</w:t>
            </w:r>
          </w:p>
          <w:p w:rsidR="00532699" w:rsidRPr="00532699" w:rsidRDefault="00532699" w:rsidP="00532699">
            <w:pPr>
              <w:pStyle w:val="Prrafodelista"/>
              <w:numPr>
                <w:ilvl w:val="0"/>
                <w:numId w:val="6"/>
              </w:numPr>
            </w:pPr>
            <w:r>
              <w:t>Costos</w:t>
            </w:r>
          </w:p>
        </w:tc>
        <w:tc>
          <w:tcPr>
            <w:tcW w:w="4414" w:type="dxa"/>
          </w:tcPr>
          <w:p w:rsidR="00532699" w:rsidRDefault="00532699" w:rsidP="00532699">
            <w:pPr>
              <w:pStyle w:val="Prrafodelista"/>
              <w:numPr>
                <w:ilvl w:val="0"/>
                <w:numId w:val="4"/>
              </w:numPr>
              <w:contextualSpacing w:val="0"/>
            </w:pPr>
            <w:r>
              <w:t>Nombre</w:t>
            </w:r>
          </w:p>
          <w:p w:rsidR="00532699" w:rsidRDefault="00532699" w:rsidP="00C92228">
            <w:pPr>
              <w:pStyle w:val="Prrafodelista"/>
              <w:numPr>
                <w:ilvl w:val="0"/>
                <w:numId w:val="4"/>
              </w:numPr>
              <w:contextualSpacing w:val="0"/>
            </w:pPr>
            <w:r>
              <w:t>Objetivo</w:t>
            </w:r>
          </w:p>
          <w:p w:rsidR="00532699" w:rsidRDefault="00532699" w:rsidP="00532699">
            <w:pPr>
              <w:pStyle w:val="Prrafodelista"/>
              <w:numPr>
                <w:ilvl w:val="0"/>
                <w:numId w:val="4"/>
              </w:numPr>
              <w:contextualSpacing w:val="0"/>
            </w:pPr>
            <w:r>
              <w:t>Base Legal</w:t>
            </w:r>
          </w:p>
          <w:p w:rsidR="00532699" w:rsidRDefault="00532699" w:rsidP="00532699">
            <w:pPr>
              <w:pStyle w:val="Prrafodelista"/>
              <w:numPr>
                <w:ilvl w:val="0"/>
                <w:numId w:val="4"/>
              </w:numPr>
              <w:contextualSpacing w:val="0"/>
            </w:pPr>
            <w:r>
              <w:t>Requisitos</w:t>
            </w:r>
          </w:p>
          <w:p w:rsidR="00532699" w:rsidRDefault="00532699" w:rsidP="00532699">
            <w:pPr>
              <w:pStyle w:val="Prrafodelista"/>
              <w:numPr>
                <w:ilvl w:val="0"/>
                <w:numId w:val="4"/>
              </w:numPr>
              <w:contextualSpacing w:val="0"/>
            </w:pPr>
            <w:r>
              <w:t xml:space="preserve">Formulario (s) </w:t>
            </w:r>
          </w:p>
          <w:p w:rsidR="00532699" w:rsidRDefault="00532699" w:rsidP="00532699">
            <w:pPr>
              <w:pStyle w:val="Prrafodelista"/>
              <w:numPr>
                <w:ilvl w:val="0"/>
                <w:numId w:val="4"/>
              </w:numPr>
              <w:contextualSpacing w:val="0"/>
            </w:pPr>
            <w:r>
              <w:lastRenderedPageBreak/>
              <w:t xml:space="preserve">Procedimiento General </w:t>
            </w:r>
          </w:p>
          <w:p w:rsidR="00532699" w:rsidRDefault="00532699" w:rsidP="00532699">
            <w:pPr>
              <w:pStyle w:val="Prrafodelista"/>
              <w:numPr>
                <w:ilvl w:val="0"/>
                <w:numId w:val="4"/>
              </w:numPr>
              <w:contextualSpacing w:val="0"/>
            </w:pPr>
            <w:r>
              <w:t>Emisor</w:t>
            </w:r>
          </w:p>
          <w:p w:rsidR="00532699" w:rsidRDefault="00532699" w:rsidP="00532699">
            <w:pPr>
              <w:pStyle w:val="Prrafodelista"/>
              <w:numPr>
                <w:ilvl w:val="0"/>
                <w:numId w:val="4"/>
              </w:numPr>
              <w:contextualSpacing w:val="0"/>
            </w:pPr>
            <w:r>
              <w:t xml:space="preserve">Unidad organizativa responsable </w:t>
            </w:r>
          </w:p>
          <w:p w:rsidR="00532699" w:rsidRDefault="00532699" w:rsidP="00532699">
            <w:pPr>
              <w:pStyle w:val="Prrafodelista"/>
              <w:numPr>
                <w:ilvl w:val="0"/>
                <w:numId w:val="4"/>
              </w:numPr>
              <w:contextualSpacing w:val="0"/>
            </w:pPr>
            <w:r>
              <w:t xml:space="preserve">Persona responsable </w:t>
            </w:r>
          </w:p>
          <w:p w:rsidR="00532699" w:rsidRDefault="00532699" w:rsidP="00532699">
            <w:pPr>
              <w:pStyle w:val="Prrafodelista"/>
              <w:numPr>
                <w:ilvl w:val="0"/>
                <w:numId w:val="4"/>
              </w:numPr>
              <w:contextualSpacing w:val="0"/>
            </w:pPr>
            <w:r>
              <w:t>Teléfono Directo</w:t>
            </w:r>
          </w:p>
          <w:p w:rsidR="00532699" w:rsidRDefault="00532699" w:rsidP="00532699">
            <w:pPr>
              <w:pStyle w:val="Prrafodelista"/>
              <w:numPr>
                <w:ilvl w:val="0"/>
                <w:numId w:val="4"/>
              </w:numPr>
              <w:contextualSpacing w:val="0"/>
            </w:pPr>
            <w:r>
              <w:t>Correo electrónico</w:t>
            </w:r>
          </w:p>
          <w:p w:rsidR="00532699" w:rsidRDefault="00532699" w:rsidP="00532699">
            <w:pPr>
              <w:pStyle w:val="Prrafodelista"/>
              <w:numPr>
                <w:ilvl w:val="0"/>
                <w:numId w:val="4"/>
              </w:numPr>
              <w:contextualSpacing w:val="0"/>
            </w:pPr>
            <w:r>
              <w:t>Fax (si es necesario)</w:t>
            </w:r>
          </w:p>
          <w:p w:rsidR="00532699" w:rsidRDefault="00532699" w:rsidP="00532699">
            <w:pPr>
              <w:pStyle w:val="Prrafodelista"/>
              <w:numPr>
                <w:ilvl w:val="0"/>
                <w:numId w:val="4"/>
              </w:numPr>
              <w:contextualSpacing w:val="0"/>
            </w:pPr>
            <w:r>
              <w:t>Ubicación</w:t>
            </w:r>
          </w:p>
          <w:p w:rsidR="00532699" w:rsidRDefault="00532699" w:rsidP="00532699">
            <w:pPr>
              <w:pStyle w:val="Prrafodelista"/>
              <w:numPr>
                <w:ilvl w:val="0"/>
                <w:numId w:val="4"/>
              </w:numPr>
              <w:contextualSpacing w:val="0"/>
            </w:pPr>
            <w:r>
              <w:t>Tiempo de respuesta</w:t>
            </w:r>
          </w:p>
          <w:p w:rsidR="00532699" w:rsidRDefault="00532699" w:rsidP="00532699">
            <w:pPr>
              <w:pStyle w:val="Prrafodelista"/>
              <w:numPr>
                <w:ilvl w:val="0"/>
                <w:numId w:val="4"/>
              </w:numPr>
              <w:contextualSpacing w:val="0"/>
            </w:pPr>
            <w:r>
              <w:t>Horario de atención</w:t>
            </w:r>
          </w:p>
          <w:p w:rsidR="00532699" w:rsidRDefault="00532699" w:rsidP="00532699">
            <w:pPr>
              <w:pStyle w:val="Prrafodelista"/>
              <w:numPr>
                <w:ilvl w:val="0"/>
                <w:numId w:val="4"/>
              </w:numPr>
              <w:contextualSpacing w:val="0"/>
            </w:pPr>
            <w:r>
              <w:t>Costo por servicio</w:t>
            </w:r>
          </w:p>
          <w:p w:rsidR="00532699" w:rsidRDefault="00532699" w:rsidP="00532699">
            <w:pPr>
              <w:jc w:val="both"/>
              <w:rPr>
                <w:lang w:val="es-MX"/>
              </w:rPr>
            </w:pPr>
          </w:p>
        </w:tc>
      </w:tr>
    </w:tbl>
    <w:p w:rsidR="00532699" w:rsidRDefault="00532699" w:rsidP="00532699">
      <w:pPr>
        <w:jc w:val="both"/>
        <w:rPr>
          <w:lang w:val="es-MX"/>
        </w:rPr>
      </w:pPr>
    </w:p>
    <w:p w:rsidR="00C92228" w:rsidRDefault="00C92228" w:rsidP="00C92228">
      <w:pPr>
        <w:rPr>
          <w:lang w:val="es-MX"/>
        </w:rPr>
      </w:pPr>
      <w:r>
        <w:rPr>
          <w:lang w:val="es-MX"/>
        </w:rPr>
        <w:t>Por lo que se retoma la consulta sobre la aplicación del el instructivo para el proceso de evaluación en el apartado V. Transparencia Activa, sección A, el cual señala que en caso de incumplimiento por periodos de actualización o la falta de algún requisito conlleva la pérdida parcial de puntos, no la totalidad del estándar.</w:t>
      </w:r>
    </w:p>
    <w:p w:rsidR="00532699" w:rsidRDefault="00532699" w:rsidP="00532699">
      <w:pPr>
        <w:jc w:val="both"/>
        <w:rPr>
          <w:lang w:val="es-MX"/>
        </w:rPr>
      </w:pPr>
    </w:p>
    <w:p w:rsidR="00CC5191" w:rsidRDefault="00CC5191" w:rsidP="00532699">
      <w:pPr>
        <w:jc w:val="both"/>
        <w:rPr>
          <w:b/>
          <w:lang w:val="es-MX"/>
        </w:rPr>
      </w:pPr>
      <w:r>
        <w:rPr>
          <w:b/>
          <w:lang w:val="es-MX"/>
        </w:rPr>
        <w:t xml:space="preserve">Estándar </w:t>
      </w:r>
      <w:r w:rsidR="007F0452">
        <w:rPr>
          <w:b/>
          <w:lang w:val="es-MX"/>
        </w:rPr>
        <w:t xml:space="preserve">18 </w:t>
      </w:r>
      <w:r>
        <w:rPr>
          <w:b/>
          <w:lang w:val="es-MX"/>
        </w:rPr>
        <w:t>de adquisiciones y contrataciones</w:t>
      </w:r>
    </w:p>
    <w:p w:rsidR="00CC5191" w:rsidRDefault="00CC5191" w:rsidP="00532699">
      <w:pPr>
        <w:jc w:val="both"/>
        <w:rPr>
          <w:lang w:val="es-MX"/>
        </w:rPr>
      </w:pPr>
      <w:r>
        <w:rPr>
          <w:lang w:val="es-MX"/>
        </w:rPr>
        <w:t>Según el documento de evaluación se perdieron todos los puntos del estándar por dos razones:</w:t>
      </w:r>
    </w:p>
    <w:p w:rsidR="00CC5191" w:rsidRDefault="00CC5191" w:rsidP="00CC5191">
      <w:pPr>
        <w:pStyle w:val="Prrafodelista"/>
        <w:numPr>
          <w:ilvl w:val="0"/>
          <w:numId w:val="7"/>
        </w:numPr>
        <w:jc w:val="both"/>
        <w:rPr>
          <w:lang w:val="es-MX"/>
        </w:rPr>
      </w:pPr>
      <w:r>
        <w:rPr>
          <w:lang w:val="es-MX"/>
        </w:rPr>
        <w:t>La plantilla no señala las características de la contraparte.</w:t>
      </w:r>
    </w:p>
    <w:p w:rsidR="00CC5191" w:rsidRDefault="00CC5191" w:rsidP="00CC5191">
      <w:pPr>
        <w:pStyle w:val="Prrafodelista"/>
        <w:numPr>
          <w:ilvl w:val="0"/>
          <w:numId w:val="7"/>
        </w:numPr>
        <w:jc w:val="both"/>
        <w:rPr>
          <w:lang w:val="es-MX"/>
        </w:rPr>
      </w:pPr>
      <w:r>
        <w:rPr>
          <w:lang w:val="es-MX"/>
        </w:rPr>
        <w:t>Los contratos no señalan el nombre de los contratantes.</w:t>
      </w:r>
    </w:p>
    <w:p w:rsidR="00CC5191" w:rsidRDefault="00CC5191" w:rsidP="00CC5191">
      <w:pPr>
        <w:jc w:val="both"/>
        <w:rPr>
          <w:lang w:val="es-MX"/>
        </w:rPr>
      </w:pPr>
    </w:p>
    <w:p w:rsidR="00CC5191" w:rsidRDefault="00CC5191" w:rsidP="00CC5191">
      <w:pPr>
        <w:jc w:val="both"/>
        <w:rPr>
          <w:b/>
          <w:lang w:val="es-MX"/>
        </w:rPr>
      </w:pPr>
      <w:r w:rsidRPr="00CC5191">
        <w:rPr>
          <w:b/>
          <w:lang w:val="es-MX"/>
        </w:rPr>
        <w:t>Comentario UAIP</w:t>
      </w:r>
    </w:p>
    <w:p w:rsidR="00CC5191" w:rsidRDefault="00CC5191" w:rsidP="00CC5191">
      <w:pPr>
        <w:rPr>
          <w:lang w:val="es-MX"/>
        </w:rPr>
      </w:pPr>
      <w:r>
        <w:rPr>
          <w:lang w:val="es-MX"/>
        </w:rPr>
        <w:t>Según el instructivo para el proceso de evaluación en el apartado V. Transparencia Activa, sección A, el cual señala que en caso de incumplimiento por periodos de actualización o la falta de algún requisito conlleva la pérdida parcial de puntos, no la totalidad del estándar.</w:t>
      </w:r>
    </w:p>
    <w:p w:rsidR="00CC5191" w:rsidRDefault="00CC5191" w:rsidP="00CC5191">
      <w:pPr>
        <w:jc w:val="both"/>
        <w:rPr>
          <w:lang w:val="es-MX"/>
        </w:rPr>
      </w:pPr>
      <w:r>
        <w:rPr>
          <w:lang w:val="es-MX"/>
        </w:rPr>
        <w:t>Para el caso lo relacionado con la plantilla únicamente afecta el apartado 18.1, de manera parcial.</w:t>
      </w:r>
    </w:p>
    <w:p w:rsidR="00CC5191" w:rsidRDefault="00CC5191" w:rsidP="00CC5191">
      <w:pPr>
        <w:jc w:val="both"/>
        <w:rPr>
          <w:lang w:val="es-MX"/>
        </w:rPr>
      </w:pPr>
      <w:r w:rsidRPr="00CC5191">
        <w:rPr>
          <w:lang w:val="es-MX"/>
        </w:rPr>
        <w:t xml:space="preserve">En lo que corresponde al contrato, el estándar definido en el lineamiento 2 es el nombre de la contraparte, el </w:t>
      </w:r>
      <w:proofErr w:type="gramStart"/>
      <w:r w:rsidRPr="00CC5191">
        <w:rPr>
          <w:lang w:val="es-MX"/>
        </w:rPr>
        <w:t>cual</w:t>
      </w:r>
      <w:proofErr w:type="gramEnd"/>
      <w:r w:rsidRPr="00CC5191">
        <w:rPr>
          <w:lang w:val="es-MX"/>
        </w:rPr>
        <w:t xml:space="preserve"> si se publica</w:t>
      </w:r>
      <w:r>
        <w:rPr>
          <w:lang w:val="es-MX"/>
        </w:rPr>
        <w:t xml:space="preserve"> en los contratos, que en su mayoría son sociedades anónimas.</w:t>
      </w:r>
    </w:p>
    <w:p w:rsidR="00CC5191" w:rsidRDefault="00CC5191" w:rsidP="00CC5191">
      <w:pPr>
        <w:jc w:val="both"/>
        <w:rPr>
          <w:lang w:val="es-MX"/>
        </w:rPr>
      </w:pPr>
      <w:r>
        <w:rPr>
          <w:lang w:val="es-MX"/>
        </w:rPr>
        <w:t xml:space="preserve">Se destaca que la actualización de este estándar es permanente, </w:t>
      </w:r>
      <w:r w:rsidR="007F0452">
        <w:rPr>
          <w:lang w:val="es-MX"/>
        </w:rPr>
        <w:t>lo cual aún sido reconocido en el instrumento de evaluación, pero no se asignaron los puntos respectivos</w:t>
      </w:r>
      <w:r w:rsidR="009A78CC">
        <w:rPr>
          <w:lang w:val="es-MX"/>
        </w:rPr>
        <w:t xml:space="preserve"> en el apartado 18.3</w:t>
      </w:r>
      <w:r w:rsidR="007F0452">
        <w:rPr>
          <w:lang w:val="es-MX"/>
        </w:rPr>
        <w:t>.</w:t>
      </w:r>
    </w:p>
    <w:p w:rsidR="007F0452" w:rsidRDefault="007F0452" w:rsidP="00CC5191">
      <w:pPr>
        <w:jc w:val="both"/>
        <w:rPr>
          <w:lang w:val="es-MX"/>
        </w:rPr>
      </w:pPr>
    </w:p>
    <w:p w:rsidR="007F0452" w:rsidRPr="007F0452" w:rsidRDefault="007F0452" w:rsidP="00CC5191">
      <w:pPr>
        <w:jc w:val="both"/>
        <w:rPr>
          <w:b/>
          <w:lang w:val="es-MX"/>
        </w:rPr>
      </w:pPr>
      <w:r w:rsidRPr="007F0452">
        <w:rPr>
          <w:b/>
          <w:lang w:val="es-MX"/>
        </w:rPr>
        <w:t>Estándar 19, Listado de ofertantes y contratistas.</w:t>
      </w:r>
    </w:p>
    <w:p w:rsidR="007F0452" w:rsidRDefault="007F0452" w:rsidP="00CC5191">
      <w:pPr>
        <w:jc w:val="both"/>
        <w:rPr>
          <w:lang w:val="es-MX"/>
        </w:rPr>
      </w:pPr>
      <w:r>
        <w:rPr>
          <w:lang w:val="es-MX"/>
        </w:rPr>
        <w:t>Según el documento de evaluación, se perdieron todos los puntos por no contar con las 8 actualizaciones.</w:t>
      </w:r>
    </w:p>
    <w:p w:rsidR="007F0452" w:rsidRDefault="007F0452" w:rsidP="00CC5191">
      <w:pPr>
        <w:jc w:val="both"/>
        <w:rPr>
          <w:lang w:val="es-MX"/>
        </w:rPr>
      </w:pPr>
    </w:p>
    <w:p w:rsidR="007F0452" w:rsidRDefault="007F0452" w:rsidP="00CC5191">
      <w:pPr>
        <w:jc w:val="both"/>
        <w:rPr>
          <w:b/>
          <w:lang w:val="es-MX"/>
        </w:rPr>
      </w:pPr>
      <w:r w:rsidRPr="007F0452">
        <w:rPr>
          <w:b/>
          <w:lang w:val="es-MX"/>
        </w:rPr>
        <w:lastRenderedPageBreak/>
        <w:t>Comentario de la UAIP</w:t>
      </w:r>
    </w:p>
    <w:p w:rsidR="00685E5F" w:rsidRDefault="00685E5F" w:rsidP="00CC5191">
      <w:pPr>
        <w:jc w:val="both"/>
        <w:rPr>
          <w:lang w:val="es-MX"/>
        </w:rPr>
      </w:pPr>
      <w:r>
        <w:rPr>
          <w:lang w:val="es-MX"/>
        </w:rPr>
        <w:t>Según el instrumento de evaluación debe ponderarse por separado la existencia del listado de ofertantes (sección 19.1) lo cual si se cumple.</w:t>
      </w:r>
    </w:p>
    <w:p w:rsidR="00685E5F" w:rsidRDefault="00685E5F" w:rsidP="00CC5191">
      <w:pPr>
        <w:jc w:val="both"/>
        <w:rPr>
          <w:lang w:val="es-MX"/>
        </w:rPr>
      </w:pPr>
      <w:r>
        <w:rPr>
          <w:lang w:val="es-MX"/>
        </w:rPr>
        <w:t>Por otra parte</w:t>
      </w:r>
      <w:r w:rsidR="009A78CC">
        <w:rPr>
          <w:lang w:val="es-MX"/>
        </w:rPr>
        <w:t>, en lo concerniente al apartado 19.2</w:t>
      </w:r>
      <w:r>
        <w:rPr>
          <w:lang w:val="es-MX"/>
        </w:rPr>
        <w:t xml:space="preserve"> de actualización trimestral, debe señalarse que si se poseen varias publicaciones por lo que se solicita </w:t>
      </w:r>
      <w:r w:rsidR="009A78CC">
        <w:rPr>
          <w:lang w:val="es-MX"/>
        </w:rPr>
        <w:t>una</w:t>
      </w:r>
      <w:r>
        <w:rPr>
          <w:lang w:val="es-MX"/>
        </w:rPr>
        <w:t xml:space="preserve"> ponderación </w:t>
      </w:r>
      <w:r w:rsidR="009A78CC">
        <w:rPr>
          <w:lang w:val="es-MX"/>
        </w:rPr>
        <w:t>proporcional.</w:t>
      </w:r>
    </w:p>
    <w:p w:rsidR="009A78CC" w:rsidRDefault="009A78CC" w:rsidP="00CC5191">
      <w:pPr>
        <w:jc w:val="both"/>
        <w:rPr>
          <w:lang w:val="es-MX"/>
        </w:rPr>
      </w:pPr>
    </w:p>
    <w:p w:rsidR="00685E5F" w:rsidRPr="007F0452" w:rsidRDefault="00685E5F" w:rsidP="00685E5F">
      <w:pPr>
        <w:jc w:val="both"/>
        <w:rPr>
          <w:b/>
          <w:lang w:val="es-MX"/>
        </w:rPr>
      </w:pPr>
      <w:r w:rsidRPr="007F0452">
        <w:rPr>
          <w:b/>
          <w:lang w:val="es-MX"/>
        </w:rPr>
        <w:t xml:space="preserve">Estándar </w:t>
      </w:r>
      <w:r>
        <w:rPr>
          <w:b/>
          <w:lang w:val="es-MX"/>
        </w:rPr>
        <w:t>24</w:t>
      </w:r>
      <w:r w:rsidRPr="007F0452">
        <w:rPr>
          <w:b/>
          <w:lang w:val="es-MX"/>
        </w:rPr>
        <w:t xml:space="preserve">, </w:t>
      </w:r>
      <w:r>
        <w:rPr>
          <w:b/>
          <w:lang w:val="es-MX"/>
        </w:rPr>
        <w:t>actas de órgano colegiado</w:t>
      </w:r>
      <w:r w:rsidRPr="007F0452">
        <w:rPr>
          <w:b/>
          <w:lang w:val="es-MX"/>
        </w:rPr>
        <w:t>.</w:t>
      </w:r>
    </w:p>
    <w:p w:rsidR="00685E5F" w:rsidRDefault="00685E5F" w:rsidP="00CC5191">
      <w:pPr>
        <w:jc w:val="both"/>
        <w:rPr>
          <w:lang w:val="es-MX"/>
        </w:rPr>
      </w:pPr>
      <w:r>
        <w:rPr>
          <w:lang w:val="es-MX"/>
        </w:rPr>
        <w:t>Según el documento de evaluación, se perdieron todos los puntos porque únicamente se tiene publicada el acta de octubre 2019.</w:t>
      </w:r>
    </w:p>
    <w:p w:rsidR="00685E5F" w:rsidRPr="00685E5F" w:rsidRDefault="00685E5F" w:rsidP="00CC5191">
      <w:pPr>
        <w:jc w:val="both"/>
        <w:rPr>
          <w:b/>
          <w:lang w:val="es-MX"/>
        </w:rPr>
      </w:pPr>
      <w:r w:rsidRPr="00685E5F">
        <w:rPr>
          <w:b/>
          <w:lang w:val="es-MX"/>
        </w:rPr>
        <w:t>Comentario de la UAIP</w:t>
      </w:r>
    </w:p>
    <w:p w:rsidR="009E0AE9" w:rsidRDefault="00685E5F" w:rsidP="00CC5191">
      <w:pPr>
        <w:jc w:val="both"/>
        <w:rPr>
          <w:lang w:val="es-MX"/>
        </w:rPr>
      </w:pPr>
      <w:r>
        <w:rPr>
          <w:lang w:val="es-MX"/>
        </w:rPr>
        <w:t xml:space="preserve">El </w:t>
      </w:r>
      <w:r w:rsidR="009A78CC">
        <w:rPr>
          <w:lang w:val="es-MX"/>
        </w:rPr>
        <w:t>comunicado</w:t>
      </w:r>
      <w:r>
        <w:rPr>
          <w:lang w:val="es-MX"/>
        </w:rPr>
        <w:t xml:space="preserve"> de inexistencia de actas de órgano colegiado se va acumulando en su publicación con las demás </w:t>
      </w:r>
      <w:r w:rsidR="00206C09">
        <w:rPr>
          <w:lang w:val="es-MX"/>
        </w:rPr>
        <w:t>actas de inexistencia sobre este mismo apartado</w:t>
      </w:r>
      <w:r w:rsidR="009E0AE9">
        <w:rPr>
          <w:lang w:val="es-MX"/>
        </w:rPr>
        <w:t>, las cuales pueden consultarse a partir de la página 2 del mismo documento.</w:t>
      </w:r>
    </w:p>
    <w:p w:rsidR="00685E5F" w:rsidRDefault="009E0AE9" w:rsidP="00CC5191">
      <w:pPr>
        <w:jc w:val="both"/>
        <w:rPr>
          <w:lang w:val="es-MX"/>
        </w:rPr>
      </w:pPr>
      <w:r>
        <w:rPr>
          <w:lang w:val="es-MX"/>
        </w:rPr>
        <w:t xml:space="preserve">De esta forma se advierte </w:t>
      </w:r>
      <w:r w:rsidR="00685E5F">
        <w:rPr>
          <w:lang w:val="es-MX"/>
        </w:rPr>
        <w:t>repetitivamente al público</w:t>
      </w:r>
      <w:r>
        <w:rPr>
          <w:lang w:val="es-MX"/>
        </w:rPr>
        <w:t>, de</w:t>
      </w:r>
      <w:r w:rsidR="00685E5F">
        <w:rPr>
          <w:lang w:val="es-MX"/>
        </w:rPr>
        <w:t xml:space="preserve"> que el Ministerio de Hacienda no posee un órgano colegiado </w:t>
      </w:r>
      <w:r>
        <w:rPr>
          <w:lang w:val="es-MX"/>
        </w:rPr>
        <w:t>que lo administre</w:t>
      </w:r>
      <w:r w:rsidR="00685E5F">
        <w:rPr>
          <w:lang w:val="es-MX"/>
        </w:rPr>
        <w:t>.</w:t>
      </w:r>
    </w:p>
    <w:p w:rsidR="00685E5F" w:rsidRDefault="006C6421" w:rsidP="00CC5191">
      <w:pPr>
        <w:jc w:val="both"/>
        <w:rPr>
          <w:lang w:val="es-MX"/>
        </w:rPr>
      </w:pPr>
      <w:hyperlink r:id="rId16" w:history="1">
        <w:r w:rsidR="00685E5F" w:rsidRPr="005B2A2B">
          <w:rPr>
            <w:rStyle w:val="Hipervnculo"/>
            <w:lang w:val="es-MX"/>
          </w:rPr>
          <w:t>https://www.mh.gob.sv/downloads/pdf/700-UAIP-IF-2019-11139.pdf</w:t>
        </w:r>
      </w:hyperlink>
    </w:p>
    <w:p w:rsidR="00206C09" w:rsidRDefault="00206C09" w:rsidP="00CC5191">
      <w:pPr>
        <w:jc w:val="both"/>
        <w:rPr>
          <w:lang w:val="es-MX"/>
        </w:rPr>
      </w:pPr>
    </w:p>
    <w:p w:rsidR="00206C09" w:rsidRDefault="00206C09" w:rsidP="00CC5191">
      <w:pPr>
        <w:jc w:val="both"/>
        <w:rPr>
          <w:b/>
          <w:lang w:val="es-MX"/>
        </w:rPr>
      </w:pPr>
      <w:r w:rsidRPr="00206C09">
        <w:rPr>
          <w:b/>
          <w:lang w:val="es-MX"/>
        </w:rPr>
        <w:t>Estándar 25, índice de información reservada.</w:t>
      </w:r>
    </w:p>
    <w:p w:rsidR="00206C09" w:rsidRDefault="00206C09" w:rsidP="00CC5191">
      <w:pPr>
        <w:jc w:val="both"/>
        <w:rPr>
          <w:lang w:val="es-MX"/>
        </w:rPr>
      </w:pPr>
      <w:r>
        <w:rPr>
          <w:lang w:val="es-MX"/>
        </w:rPr>
        <w:t>En el apartado 25.2, se disminuyeron puntos porque la información se encuentra a julio y septiembre 2018, marzo y julio 2019.</w:t>
      </w:r>
    </w:p>
    <w:p w:rsidR="00206C09" w:rsidRDefault="00206C09" w:rsidP="00CC5191">
      <w:pPr>
        <w:jc w:val="both"/>
        <w:rPr>
          <w:b/>
          <w:lang w:val="es-MX"/>
        </w:rPr>
      </w:pPr>
      <w:r w:rsidRPr="00206C09">
        <w:rPr>
          <w:b/>
          <w:lang w:val="es-MX"/>
        </w:rPr>
        <w:t>Comentario UAIP</w:t>
      </w:r>
    </w:p>
    <w:p w:rsidR="00206C09" w:rsidRDefault="00206C09" w:rsidP="00CC5191">
      <w:pPr>
        <w:jc w:val="both"/>
        <w:rPr>
          <w:lang w:val="es-MX"/>
        </w:rPr>
      </w:pPr>
      <w:r>
        <w:rPr>
          <w:lang w:val="es-MX"/>
        </w:rPr>
        <w:t>La obligación de publicación semestral se cumplió y puede ser verificada en el apartado:</w:t>
      </w:r>
    </w:p>
    <w:p w:rsidR="00206C09" w:rsidRDefault="006C6421" w:rsidP="00CC5191">
      <w:pPr>
        <w:jc w:val="both"/>
        <w:rPr>
          <w:lang w:val="es-MX"/>
        </w:rPr>
      </w:pPr>
      <w:hyperlink r:id="rId17" w:history="1">
        <w:r w:rsidR="00206C09" w:rsidRPr="005B2A2B">
          <w:rPr>
            <w:rStyle w:val="Hipervnculo"/>
            <w:lang w:val="es-MX"/>
          </w:rPr>
          <w:t>https://www.mh.gob.sv/pmh/es/Temas/Ley_de_Acceso_a_la_Informacion_Publica/Unidad_de_Acceso_a_la_Informacion_Publica/Indice_de_informacion_Reservada.html</w:t>
        </w:r>
      </w:hyperlink>
    </w:p>
    <w:p w:rsidR="00206C09" w:rsidRDefault="00206C09" w:rsidP="00CC5191">
      <w:pPr>
        <w:jc w:val="both"/>
        <w:rPr>
          <w:lang w:val="es-MX"/>
        </w:rPr>
      </w:pPr>
      <w:r>
        <w:rPr>
          <w:lang w:val="es-MX"/>
        </w:rPr>
        <w:t>Índice a diciembre 2017</w:t>
      </w:r>
    </w:p>
    <w:p w:rsidR="00206C09" w:rsidRDefault="00206C09" w:rsidP="00206C09">
      <w:pPr>
        <w:jc w:val="both"/>
        <w:rPr>
          <w:lang w:val="es-MX"/>
        </w:rPr>
      </w:pPr>
      <w:r>
        <w:rPr>
          <w:noProof/>
          <w:lang w:eastAsia="es-SV"/>
        </w:rPr>
        <w:drawing>
          <wp:inline distT="0" distB="0" distL="0" distR="0" wp14:anchorId="3C41F566" wp14:editId="6B12DD02">
            <wp:extent cx="4171950" cy="63817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71950" cy="638175"/>
                    </a:xfrm>
                    <a:prstGeom prst="rect">
                      <a:avLst/>
                    </a:prstGeom>
                  </pic:spPr>
                </pic:pic>
              </a:graphicData>
            </a:graphic>
          </wp:inline>
        </w:drawing>
      </w:r>
    </w:p>
    <w:p w:rsidR="00206C09" w:rsidRDefault="00206C09" w:rsidP="00206C09">
      <w:pPr>
        <w:jc w:val="both"/>
        <w:rPr>
          <w:lang w:val="es-MX"/>
        </w:rPr>
      </w:pPr>
      <w:r>
        <w:rPr>
          <w:lang w:val="es-MX"/>
        </w:rPr>
        <w:t>Índice a junio 2018</w:t>
      </w:r>
    </w:p>
    <w:p w:rsidR="00206C09" w:rsidRDefault="00206C09" w:rsidP="00206C09">
      <w:pPr>
        <w:jc w:val="both"/>
        <w:rPr>
          <w:lang w:val="es-MX"/>
        </w:rPr>
      </w:pPr>
      <w:r>
        <w:rPr>
          <w:noProof/>
          <w:lang w:eastAsia="es-SV"/>
        </w:rPr>
        <w:drawing>
          <wp:inline distT="0" distB="0" distL="0" distR="0" wp14:anchorId="1B68B6FA" wp14:editId="0CFFB354">
            <wp:extent cx="3676650" cy="5905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76650" cy="590550"/>
                    </a:xfrm>
                    <a:prstGeom prst="rect">
                      <a:avLst/>
                    </a:prstGeom>
                  </pic:spPr>
                </pic:pic>
              </a:graphicData>
            </a:graphic>
          </wp:inline>
        </w:drawing>
      </w:r>
    </w:p>
    <w:p w:rsidR="00206C09" w:rsidRDefault="00206C09" w:rsidP="00206C09">
      <w:pPr>
        <w:jc w:val="both"/>
        <w:rPr>
          <w:lang w:val="es-MX"/>
        </w:rPr>
      </w:pPr>
    </w:p>
    <w:p w:rsidR="00206C09" w:rsidRDefault="00206C09" w:rsidP="00206C09">
      <w:pPr>
        <w:jc w:val="both"/>
        <w:rPr>
          <w:lang w:val="es-MX"/>
        </w:rPr>
      </w:pPr>
      <w:r>
        <w:rPr>
          <w:lang w:val="es-MX"/>
        </w:rPr>
        <w:lastRenderedPageBreak/>
        <w:t>Índice a diciembre 2018</w:t>
      </w:r>
    </w:p>
    <w:p w:rsidR="00206C09" w:rsidRDefault="00322C1D" w:rsidP="00206C09">
      <w:pPr>
        <w:jc w:val="both"/>
        <w:rPr>
          <w:lang w:val="es-MX"/>
        </w:rPr>
      </w:pPr>
      <w:r>
        <w:rPr>
          <w:noProof/>
          <w:lang w:eastAsia="es-SV"/>
        </w:rPr>
        <w:drawing>
          <wp:inline distT="0" distB="0" distL="0" distR="0" wp14:anchorId="3491A390" wp14:editId="30CF4265">
            <wp:extent cx="3943350" cy="44767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43350" cy="447675"/>
                    </a:xfrm>
                    <a:prstGeom prst="rect">
                      <a:avLst/>
                    </a:prstGeom>
                  </pic:spPr>
                </pic:pic>
              </a:graphicData>
            </a:graphic>
          </wp:inline>
        </w:drawing>
      </w:r>
    </w:p>
    <w:p w:rsidR="00322C1D" w:rsidRDefault="00322C1D" w:rsidP="00206C09">
      <w:pPr>
        <w:jc w:val="both"/>
        <w:rPr>
          <w:lang w:val="es-MX"/>
        </w:rPr>
      </w:pPr>
      <w:r>
        <w:rPr>
          <w:lang w:val="es-MX"/>
        </w:rPr>
        <w:t>Índice a junio 2019</w:t>
      </w:r>
    </w:p>
    <w:p w:rsidR="00322C1D" w:rsidRDefault="00322C1D" w:rsidP="00206C09">
      <w:pPr>
        <w:jc w:val="both"/>
        <w:rPr>
          <w:lang w:val="es-MX"/>
        </w:rPr>
      </w:pPr>
      <w:r>
        <w:rPr>
          <w:noProof/>
          <w:lang w:eastAsia="es-SV"/>
        </w:rPr>
        <w:drawing>
          <wp:inline distT="0" distB="0" distL="0" distR="0" wp14:anchorId="5437FA97" wp14:editId="52BF68BD">
            <wp:extent cx="5067300" cy="5048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67300" cy="504825"/>
                    </a:xfrm>
                    <a:prstGeom prst="rect">
                      <a:avLst/>
                    </a:prstGeom>
                  </pic:spPr>
                </pic:pic>
              </a:graphicData>
            </a:graphic>
          </wp:inline>
        </w:drawing>
      </w:r>
    </w:p>
    <w:p w:rsidR="00322C1D" w:rsidRDefault="00322C1D" w:rsidP="00206C09">
      <w:pPr>
        <w:jc w:val="both"/>
        <w:rPr>
          <w:lang w:val="es-MX"/>
        </w:rPr>
      </w:pPr>
      <w:bookmarkStart w:id="0" w:name="_GoBack"/>
      <w:bookmarkEnd w:id="0"/>
    </w:p>
    <w:p w:rsidR="00322C1D" w:rsidRPr="00206C09" w:rsidRDefault="00322C1D" w:rsidP="00206C09">
      <w:pPr>
        <w:jc w:val="both"/>
        <w:rPr>
          <w:lang w:val="es-MX"/>
        </w:rPr>
      </w:pPr>
    </w:p>
    <w:sectPr w:rsidR="00322C1D" w:rsidRPr="00206C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22CCC"/>
    <w:multiLevelType w:val="hybridMultilevel"/>
    <w:tmpl w:val="F0662844"/>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 w15:restartNumberingAfterBreak="0">
    <w:nsid w:val="1E7076ED"/>
    <w:multiLevelType w:val="hybridMultilevel"/>
    <w:tmpl w:val="12466A08"/>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2D1F2CA3"/>
    <w:multiLevelType w:val="hybridMultilevel"/>
    <w:tmpl w:val="4698859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15:restartNumberingAfterBreak="0">
    <w:nsid w:val="4F541E89"/>
    <w:multiLevelType w:val="hybridMultilevel"/>
    <w:tmpl w:val="B6566EF0"/>
    <w:lvl w:ilvl="0" w:tplc="FA3A4A9C">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680018AD"/>
    <w:multiLevelType w:val="hybridMultilevel"/>
    <w:tmpl w:val="E5163B3C"/>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6E0A54BB"/>
    <w:multiLevelType w:val="hybridMultilevel"/>
    <w:tmpl w:val="B9F6B570"/>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BDC"/>
    <w:rsid w:val="00206C09"/>
    <w:rsid w:val="00322C1D"/>
    <w:rsid w:val="00431BDC"/>
    <w:rsid w:val="00440546"/>
    <w:rsid w:val="00532699"/>
    <w:rsid w:val="00685E5F"/>
    <w:rsid w:val="006C6421"/>
    <w:rsid w:val="007A327E"/>
    <w:rsid w:val="007F0452"/>
    <w:rsid w:val="00921B6E"/>
    <w:rsid w:val="009A78CC"/>
    <w:rsid w:val="009E0AE9"/>
    <w:rsid w:val="00A90CAF"/>
    <w:rsid w:val="00B11520"/>
    <w:rsid w:val="00C92228"/>
    <w:rsid w:val="00CC519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EB191"/>
  <w15:chartTrackingRefBased/>
  <w15:docId w15:val="{FBA88D23-14AD-4A16-9BF6-1C4822C0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31BDC"/>
    <w:pPr>
      <w:ind w:left="720"/>
      <w:contextualSpacing/>
    </w:pPr>
  </w:style>
  <w:style w:type="character" w:styleId="Hipervnculo">
    <w:name w:val="Hyperlink"/>
    <w:basedOn w:val="Fuentedeprrafopredeter"/>
    <w:uiPriority w:val="99"/>
    <w:unhideWhenUsed/>
    <w:rsid w:val="00431BDC"/>
    <w:rPr>
      <w:color w:val="0563C1" w:themeColor="hyperlink"/>
      <w:u w:val="single"/>
    </w:rPr>
  </w:style>
  <w:style w:type="table" w:styleId="Tablaconcuadrcula">
    <w:name w:val="Table Grid"/>
    <w:basedOn w:val="Tablanormal"/>
    <w:uiPriority w:val="39"/>
    <w:rsid w:val="00532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2765">
      <w:bodyDiv w:val="1"/>
      <w:marLeft w:val="0"/>
      <w:marRight w:val="0"/>
      <w:marTop w:val="0"/>
      <w:marBottom w:val="0"/>
      <w:divBdr>
        <w:top w:val="none" w:sz="0" w:space="0" w:color="auto"/>
        <w:left w:val="none" w:sz="0" w:space="0" w:color="auto"/>
        <w:bottom w:val="none" w:sz="0" w:space="0" w:color="auto"/>
        <w:right w:val="none" w:sz="0" w:space="0" w:color="auto"/>
      </w:divBdr>
    </w:div>
    <w:div w:id="104294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4.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2.png"/><Relationship Id="rId12" Type="http://schemas.openxmlformats.org/officeDocument/2006/relationships/hyperlink" Target="https://www.mh.gob.sv/pmh/es/Temas/Ley_de_Acceso_a_la_Informacion_Publica/Marco_Normativo/Seleccion_y_Contratacion_de_Personal.html" TargetMode="External"/><Relationship Id="rId17" Type="http://schemas.openxmlformats.org/officeDocument/2006/relationships/hyperlink" Target="https://www.mh.gob.sv/pmh/es/Temas/Ley_de_Acceso_a_la_Informacion_Publica/Unidad_de_Acceso_a_la_Informacion_Publica/Indice_de_informacion_Reservada.html" TargetMode="External"/><Relationship Id="rId2" Type="http://schemas.openxmlformats.org/officeDocument/2006/relationships/styles" Target="styles.xml"/><Relationship Id="rId16" Type="http://schemas.openxmlformats.org/officeDocument/2006/relationships/hyperlink" Target="https://www.mh.gob.sv/downloads/pdf/700-UAIP-IF-2019-11139.pdf"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hyperlink" Target="https://www.mh.gob.sv/pmh/es/Temas/Ley_de_Acceso_a_la_Informacion_Publica/Marco_Normativo/Estructura_Organica.html" TargetMode="External"/><Relationship Id="rId11" Type="http://schemas.microsoft.com/office/2007/relationships/hdphoto" Target="media/hdphoto2.wdp"/><Relationship Id="rId5" Type="http://schemas.openxmlformats.org/officeDocument/2006/relationships/image" Target="media/image1.png"/><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www.mh.gob.sv/pmh/es/Temas/Ley_de_Acceso_a_la_Informacion_Publica/Marco_Presupuestario/Estados_Financieros.html" TargetMode="External"/><Relationship Id="rId14" Type="http://schemas.openxmlformats.org/officeDocument/2006/relationships/hyperlink" Target="https://www.mh.gob.sv/pmh/es/Temas/Ley_de_Acceso_a_la_Informacion_Publica/Marco_Normativo/Normativa_Interna/Soporte_Institucional.html"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Eliseo Martinez Taura</dc:creator>
  <cp:keywords/>
  <dc:description/>
  <cp:lastModifiedBy>Daniel Eliseo Martinez Taura</cp:lastModifiedBy>
  <cp:revision>2</cp:revision>
  <dcterms:created xsi:type="dcterms:W3CDTF">2020-02-04T19:46:00Z</dcterms:created>
  <dcterms:modified xsi:type="dcterms:W3CDTF">2020-02-04T19:46:00Z</dcterms:modified>
</cp:coreProperties>
</file>