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6821C" w14:textId="77777777" w:rsidR="00837ACF" w:rsidRDefault="00837ACF" w:rsidP="00837ACF">
      <w:pPr>
        <w:spacing w:after="0" w:line="240" w:lineRule="auto"/>
        <w:jc w:val="right"/>
        <w:rPr>
          <w:sz w:val="20"/>
          <w:szCs w:val="20"/>
        </w:rPr>
      </w:pPr>
      <w:bookmarkStart w:id="0" w:name="_Hlk31722013"/>
      <w:r>
        <w:rPr>
          <w:sz w:val="20"/>
          <w:szCs w:val="20"/>
        </w:rPr>
        <w:t>San Salvador, 4 de febrero de 2020.</w:t>
      </w:r>
    </w:p>
    <w:p w14:paraId="55FA3E98" w14:textId="77777777" w:rsidR="003936CA" w:rsidRPr="00AA0EF3" w:rsidRDefault="003936CA" w:rsidP="003936CA">
      <w:pPr>
        <w:spacing w:after="0" w:line="240" w:lineRule="auto"/>
        <w:jc w:val="both"/>
        <w:rPr>
          <w:sz w:val="20"/>
          <w:szCs w:val="20"/>
        </w:rPr>
      </w:pPr>
      <w:r w:rsidRPr="00AA0EF3">
        <w:rPr>
          <w:sz w:val="20"/>
          <w:szCs w:val="20"/>
        </w:rPr>
        <w:t>Honorables Comisionados del IAIP</w:t>
      </w:r>
    </w:p>
    <w:p w14:paraId="7C401F90" w14:textId="77777777" w:rsidR="003936CA" w:rsidRPr="00AA0EF3" w:rsidRDefault="003936CA" w:rsidP="003936CA">
      <w:pPr>
        <w:spacing w:after="0" w:line="240" w:lineRule="auto"/>
        <w:jc w:val="both"/>
        <w:rPr>
          <w:sz w:val="20"/>
          <w:szCs w:val="20"/>
        </w:rPr>
      </w:pPr>
      <w:r w:rsidRPr="00AA0EF3">
        <w:rPr>
          <w:sz w:val="20"/>
          <w:szCs w:val="20"/>
        </w:rPr>
        <w:t>Presente.</w:t>
      </w:r>
    </w:p>
    <w:p w14:paraId="4307C90E" w14:textId="77777777" w:rsidR="003936CA" w:rsidRPr="00AA0EF3" w:rsidRDefault="003936CA" w:rsidP="003F2822">
      <w:pPr>
        <w:jc w:val="both"/>
        <w:rPr>
          <w:sz w:val="20"/>
          <w:szCs w:val="20"/>
        </w:rPr>
      </w:pPr>
    </w:p>
    <w:p w14:paraId="1CB8EDBD" w14:textId="77777777" w:rsidR="00677443" w:rsidRPr="00AA0EF3" w:rsidRDefault="00763B8D" w:rsidP="003F2822">
      <w:pPr>
        <w:jc w:val="both"/>
        <w:rPr>
          <w:sz w:val="20"/>
          <w:szCs w:val="20"/>
        </w:rPr>
      </w:pPr>
      <w:r>
        <w:rPr>
          <w:sz w:val="20"/>
          <w:szCs w:val="20"/>
        </w:rPr>
        <w:t>D</w:t>
      </w:r>
      <w:r w:rsidR="003936CA" w:rsidRPr="00AA0EF3">
        <w:rPr>
          <w:sz w:val="20"/>
          <w:szCs w:val="20"/>
        </w:rPr>
        <w:t xml:space="preserve">eseándoles éxitos en el desempeño de sus funciones cotidianas, hago referencia a </w:t>
      </w:r>
      <w:r w:rsidR="003F2822" w:rsidRPr="00AA0EF3">
        <w:rPr>
          <w:sz w:val="20"/>
          <w:szCs w:val="20"/>
        </w:rPr>
        <w:t xml:space="preserve">lo relativo </w:t>
      </w:r>
      <w:r w:rsidR="003936CA" w:rsidRPr="00AA0EF3">
        <w:rPr>
          <w:sz w:val="20"/>
          <w:szCs w:val="20"/>
        </w:rPr>
        <w:t>al</w:t>
      </w:r>
      <w:r w:rsidR="003F2822" w:rsidRPr="00AA0EF3">
        <w:rPr>
          <w:sz w:val="20"/>
          <w:szCs w:val="20"/>
        </w:rPr>
        <w:t xml:space="preserve"> portal de Transparencia de OPAMSS, y de acuerdo a los criterios de evaluación, específicamente </w:t>
      </w:r>
      <w:r w:rsidR="003F2822" w:rsidRPr="00AA0EF3">
        <w:rPr>
          <w:b/>
          <w:sz w:val="20"/>
          <w:szCs w:val="20"/>
        </w:rPr>
        <w:t>la completitud,</w:t>
      </w:r>
      <w:r w:rsidR="003F2822" w:rsidRPr="00AA0EF3">
        <w:rPr>
          <w:sz w:val="20"/>
          <w:szCs w:val="20"/>
        </w:rPr>
        <w:t xml:space="preserve"> hace referencia a que “</w:t>
      </w:r>
      <w:r w:rsidR="003F2822" w:rsidRPr="00AA0EF3">
        <w:rPr>
          <w:i/>
          <w:sz w:val="20"/>
          <w:szCs w:val="20"/>
        </w:rPr>
        <w:t>la información debe presentarse completa, la ausencia de documentos implicará la pérdida del puntaje correspondiente al apartado o sub apartado según aplique”</w:t>
      </w:r>
      <w:r>
        <w:rPr>
          <w:i/>
          <w:sz w:val="20"/>
          <w:szCs w:val="20"/>
        </w:rPr>
        <w:t>,</w:t>
      </w:r>
      <w:r w:rsidR="003936CA" w:rsidRPr="00AA0EF3">
        <w:rPr>
          <w:i/>
          <w:sz w:val="20"/>
          <w:szCs w:val="20"/>
        </w:rPr>
        <w:t xml:space="preserve"> </w:t>
      </w:r>
      <w:r w:rsidR="003936CA" w:rsidRPr="00AA0EF3">
        <w:rPr>
          <w:sz w:val="20"/>
          <w:szCs w:val="20"/>
        </w:rPr>
        <w:t>es importante que se considere puntaje para ciertos indicadores que si se encuentran publicados como explico a continuación:</w:t>
      </w:r>
    </w:p>
    <w:tbl>
      <w:tblPr>
        <w:tblpPr w:leftFromText="141" w:rightFromText="141" w:vertAnchor="text" w:horzAnchor="margin" w:tblpXSpec="center" w:tblpY="151"/>
        <w:tblW w:w="5753" w:type="pct"/>
        <w:tblCellMar>
          <w:left w:w="70" w:type="dxa"/>
          <w:right w:w="70" w:type="dxa"/>
        </w:tblCellMar>
        <w:tblLook w:val="04A0" w:firstRow="1" w:lastRow="0" w:firstColumn="1" w:lastColumn="0" w:noHBand="0" w:noVBand="1"/>
      </w:tblPr>
      <w:tblGrid>
        <w:gridCol w:w="1154"/>
        <w:gridCol w:w="1204"/>
        <w:gridCol w:w="3217"/>
        <w:gridCol w:w="502"/>
        <w:gridCol w:w="502"/>
        <w:gridCol w:w="1337"/>
        <w:gridCol w:w="1091"/>
        <w:gridCol w:w="766"/>
      </w:tblGrid>
      <w:tr w:rsidR="00F90043" w:rsidRPr="00D51CE3" w14:paraId="0A92C792" w14:textId="77777777" w:rsidTr="00F90043">
        <w:trPr>
          <w:trHeight w:val="675"/>
        </w:trPr>
        <w:tc>
          <w:tcPr>
            <w:tcW w:w="590" w:type="pct"/>
            <w:vMerge w:val="restart"/>
            <w:tcBorders>
              <w:top w:val="single" w:sz="4" w:space="0" w:color="auto"/>
              <w:left w:val="single" w:sz="4" w:space="0" w:color="auto"/>
              <w:bottom w:val="single" w:sz="4" w:space="0" w:color="000000"/>
              <w:right w:val="single" w:sz="4" w:space="0" w:color="auto"/>
            </w:tcBorders>
            <w:shd w:val="clear" w:color="000000" w:fill="2F75B5"/>
            <w:vAlign w:val="center"/>
            <w:hideMark/>
          </w:tcPr>
          <w:p w14:paraId="7D85225B" w14:textId="77777777" w:rsidR="00F90043" w:rsidRPr="00D51CE3" w:rsidRDefault="00F90043" w:rsidP="00F90043">
            <w:pPr>
              <w:spacing w:after="0" w:line="240" w:lineRule="auto"/>
              <w:jc w:val="center"/>
              <w:rPr>
                <w:rFonts w:ascii="Calibri" w:eastAsia="Times New Roman" w:hAnsi="Calibri" w:cs="Times New Roman"/>
                <w:b/>
                <w:bCs/>
                <w:color w:val="FFFFFF"/>
                <w:sz w:val="18"/>
                <w:szCs w:val="18"/>
                <w:lang w:val="es-ES" w:eastAsia="es-ES"/>
              </w:rPr>
            </w:pPr>
            <w:r w:rsidRPr="00D51CE3">
              <w:rPr>
                <w:rFonts w:ascii="Calibri" w:eastAsia="Times New Roman" w:hAnsi="Calibri" w:cs="Times New Roman"/>
                <w:b/>
                <w:bCs/>
                <w:color w:val="FFFFFF"/>
                <w:sz w:val="18"/>
                <w:szCs w:val="18"/>
                <w:lang w:val="es-ES" w:eastAsia="es-ES"/>
              </w:rPr>
              <w:t>Resoluciones ejecutoriadas</w:t>
            </w:r>
          </w:p>
        </w:tc>
        <w:tc>
          <w:tcPr>
            <w:tcW w:w="616" w:type="pct"/>
            <w:tcBorders>
              <w:top w:val="single" w:sz="4" w:space="0" w:color="auto"/>
              <w:left w:val="nil"/>
              <w:bottom w:val="single" w:sz="4" w:space="0" w:color="auto"/>
              <w:right w:val="single" w:sz="4" w:space="0" w:color="auto"/>
            </w:tcBorders>
            <w:shd w:val="clear" w:color="auto" w:fill="auto"/>
            <w:vAlign w:val="center"/>
            <w:hideMark/>
          </w:tcPr>
          <w:p w14:paraId="7783EDD3"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23.1 Listado</w:t>
            </w:r>
          </w:p>
        </w:tc>
        <w:tc>
          <w:tcPr>
            <w:tcW w:w="164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B479FBB"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Se colocará la plantilla de las resoluciones que emitan las instituciones que se ejerzan funciones de control o tengan facultades sancionatorias. La plantilla deberá contener el nombre de las partes involucradas, la fecha de resolución, un breve resumen del caso y el enlace al documento que contenga la resolución completa. En el caso de las instituciones que no encajen en este supuesto, bastará un acta de inexistencia.</w:t>
            </w:r>
          </w:p>
        </w:tc>
        <w:tc>
          <w:tcPr>
            <w:tcW w:w="257" w:type="pct"/>
            <w:tcBorders>
              <w:top w:val="single" w:sz="4" w:space="0" w:color="auto"/>
              <w:left w:val="nil"/>
              <w:bottom w:val="nil"/>
              <w:right w:val="single" w:sz="4" w:space="0" w:color="auto"/>
            </w:tcBorders>
            <w:shd w:val="clear" w:color="auto" w:fill="auto"/>
            <w:noWrap/>
            <w:vAlign w:val="center"/>
            <w:hideMark/>
          </w:tcPr>
          <w:p w14:paraId="25C787F3"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0.15</w:t>
            </w:r>
          </w:p>
        </w:tc>
        <w:tc>
          <w:tcPr>
            <w:tcW w:w="257" w:type="pct"/>
            <w:tcBorders>
              <w:top w:val="single" w:sz="4" w:space="0" w:color="auto"/>
              <w:left w:val="nil"/>
              <w:bottom w:val="single" w:sz="4" w:space="0" w:color="auto"/>
              <w:right w:val="single" w:sz="4" w:space="0" w:color="auto"/>
            </w:tcBorders>
            <w:shd w:val="clear" w:color="auto" w:fill="auto"/>
            <w:noWrap/>
            <w:vAlign w:val="center"/>
            <w:hideMark/>
          </w:tcPr>
          <w:p w14:paraId="72B745E6"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0</w:t>
            </w:r>
          </w:p>
        </w:tc>
        <w:tc>
          <w:tcPr>
            <w:tcW w:w="68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017379"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Es información que no genera la institución, por lo que coloca acta de inexistencia, una por año. Las actas están en formato no seleccionable.</w:t>
            </w:r>
          </w:p>
        </w:tc>
        <w:tc>
          <w:tcPr>
            <w:tcW w:w="55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EB7F0F3"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Se observa actualización a octubre 2019</w:t>
            </w:r>
          </w:p>
        </w:tc>
        <w:tc>
          <w:tcPr>
            <w:tcW w:w="39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A38E31"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Formato</w:t>
            </w:r>
          </w:p>
        </w:tc>
      </w:tr>
      <w:tr w:rsidR="00F90043" w:rsidRPr="00D51CE3" w14:paraId="2C57CC1D" w14:textId="77777777" w:rsidTr="00F90043">
        <w:trPr>
          <w:trHeight w:val="615"/>
        </w:trPr>
        <w:tc>
          <w:tcPr>
            <w:tcW w:w="590" w:type="pct"/>
            <w:vMerge/>
            <w:tcBorders>
              <w:top w:val="single" w:sz="4" w:space="0" w:color="auto"/>
              <w:left w:val="single" w:sz="4" w:space="0" w:color="auto"/>
              <w:bottom w:val="single" w:sz="4" w:space="0" w:color="000000"/>
              <w:right w:val="single" w:sz="4" w:space="0" w:color="auto"/>
            </w:tcBorders>
            <w:vAlign w:val="center"/>
            <w:hideMark/>
          </w:tcPr>
          <w:p w14:paraId="3BFED061" w14:textId="77777777" w:rsidR="00F90043" w:rsidRPr="00D51CE3" w:rsidRDefault="00F90043" w:rsidP="00F90043">
            <w:pPr>
              <w:spacing w:after="0" w:line="240" w:lineRule="auto"/>
              <w:rPr>
                <w:rFonts w:ascii="Calibri" w:eastAsia="Times New Roman" w:hAnsi="Calibri" w:cs="Times New Roman"/>
                <w:b/>
                <w:bCs/>
                <w:color w:val="FFFFFF"/>
                <w:sz w:val="18"/>
                <w:szCs w:val="18"/>
                <w:lang w:val="es-ES" w:eastAsia="es-ES"/>
              </w:rPr>
            </w:pPr>
          </w:p>
        </w:tc>
        <w:tc>
          <w:tcPr>
            <w:tcW w:w="616" w:type="pct"/>
            <w:tcBorders>
              <w:top w:val="nil"/>
              <w:left w:val="nil"/>
              <w:bottom w:val="single" w:sz="4" w:space="0" w:color="auto"/>
              <w:right w:val="single" w:sz="4" w:space="0" w:color="auto"/>
            </w:tcBorders>
            <w:shd w:val="clear" w:color="auto" w:fill="auto"/>
            <w:vAlign w:val="center"/>
            <w:hideMark/>
          </w:tcPr>
          <w:p w14:paraId="398CF6C0"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23.2 Partes</w:t>
            </w:r>
          </w:p>
        </w:tc>
        <w:tc>
          <w:tcPr>
            <w:tcW w:w="1646"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FE2F199"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257" w:type="pct"/>
            <w:tcBorders>
              <w:top w:val="single" w:sz="4" w:space="0" w:color="auto"/>
              <w:left w:val="nil"/>
              <w:bottom w:val="nil"/>
              <w:right w:val="single" w:sz="4" w:space="0" w:color="auto"/>
            </w:tcBorders>
            <w:shd w:val="clear" w:color="auto" w:fill="auto"/>
            <w:noWrap/>
            <w:vAlign w:val="center"/>
            <w:hideMark/>
          </w:tcPr>
          <w:p w14:paraId="705B7038"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0.15</w:t>
            </w:r>
          </w:p>
        </w:tc>
        <w:tc>
          <w:tcPr>
            <w:tcW w:w="257" w:type="pct"/>
            <w:tcBorders>
              <w:top w:val="nil"/>
              <w:left w:val="nil"/>
              <w:bottom w:val="single" w:sz="4" w:space="0" w:color="auto"/>
              <w:right w:val="single" w:sz="4" w:space="0" w:color="auto"/>
            </w:tcBorders>
            <w:shd w:val="clear" w:color="auto" w:fill="auto"/>
            <w:noWrap/>
            <w:vAlign w:val="center"/>
            <w:hideMark/>
          </w:tcPr>
          <w:p w14:paraId="7EECF513"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0</w:t>
            </w:r>
          </w:p>
        </w:tc>
        <w:tc>
          <w:tcPr>
            <w:tcW w:w="68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382C6EC"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558" w:type="pct"/>
            <w:vMerge/>
            <w:tcBorders>
              <w:top w:val="single" w:sz="4" w:space="0" w:color="auto"/>
              <w:left w:val="single" w:sz="4" w:space="0" w:color="auto"/>
              <w:bottom w:val="single" w:sz="4" w:space="0" w:color="000000"/>
              <w:right w:val="single" w:sz="4" w:space="0" w:color="auto"/>
            </w:tcBorders>
            <w:vAlign w:val="center"/>
            <w:hideMark/>
          </w:tcPr>
          <w:p w14:paraId="2B1630AA"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392" w:type="pct"/>
            <w:vMerge/>
            <w:tcBorders>
              <w:top w:val="single" w:sz="4" w:space="0" w:color="auto"/>
              <w:left w:val="single" w:sz="4" w:space="0" w:color="auto"/>
              <w:bottom w:val="single" w:sz="4" w:space="0" w:color="000000"/>
              <w:right w:val="single" w:sz="4" w:space="0" w:color="auto"/>
            </w:tcBorders>
            <w:vAlign w:val="center"/>
            <w:hideMark/>
          </w:tcPr>
          <w:p w14:paraId="0D55B6F0"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r>
      <w:tr w:rsidR="00F90043" w:rsidRPr="00D51CE3" w14:paraId="4CB36771" w14:textId="77777777" w:rsidTr="00F90043">
        <w:trPr>
          <w:trHeight w:val="615"/>
        </w:trPr>
        <w:tc>
          <w:tcPr>
            <w:tcW w:w="590" w:type="pct"/>
            <w:vMerge/>
            <w:tcBorders>
              <w:top w:val="single" w:sz="4" w:space="0" w:color="auto"/>
              <w:left w:val="single" w:sz="4" w:space="0" w:color="auto"/>
              <w:bottom w:val="single" w:sz="4" w:space="0" w:color="000000"/>
              <w:right w:val="single" w:sz="4" w:space="0" w:color="auto"/>
            </w:tcBorders>
            <w:vAlign w:val="center"/>
            <w:hideMark/>
          </w:tcPr>
          <w:p w14:paraId="3F3E2D7B" w14:textId="77777777" w:rsidR="00F90043" w:rsidRPr="00D51CE3" w:rsidRDefault="00F90043" w:rsidP="00F90043">
            <w:pPr>
              <w:spacing w:after="0" w:line="240" w:lineRule="auto"/>
              <w:rPr>
                <w:rFonts w:ascii="Calibri" w:eastAsia="Times New Roman" w:hAnsi="Calibri" w:cs="Times New Roman"/>
                <w:b/>
                <w:bCs/>
                <w:color w:val="FFFFFF"/>
                <w:sz w:val="18"/>
                <w:szCs w:val="18"/>
                <w:lang w:val="es-ES" w:eastAsia="es-ES"/>
              </w:rPr>
            </w:pPr>
          </w:p>
        </w:tc>
        <w:tc>
          <w:tcPr>
            <w:tcW w:w="616" w:type="pct"/>
            <w:tcBorders>
              <w:top w:val="nil"/>
              <w:left w:val="nil"/>
              <w:bottom w:val="single" w:sz="4" w:space="0" w:color="auto"/>
              <w:right w:val="single" w:sz="4" w:space="0" w:color="auto"/>
            </w:tcBorders>
            <w:shd w:val="clear" w:color="auto" w:fill="auto"/>
            <w:vAlign w:val="center"/>
            <w:hideMark/>
          </w:tcPr>
          <w:p w14:paraId="4F63A352"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23.3 Resumen del caso</w:t>
            </w:r>
          </w:p>
        </w:tc>
        <w:tc>
          <w:tcPr>
            <w:tcW w:w="1646"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C7D6040"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257" w:type="pct"/>
            <w:tcBorders>
              <w:top w:val="single" w:sz="4" w:space="0" w:color="auto"/>
              <w:left w:val="nil"/>
              <w:bottom w:val="nil"/>
              <w:right w:val="single" w:sz="4" w:space="0" w:color="auto"/>
            </w:tcBorders>
            <w:shd w:val="clear" w:color="auto" w:fill="auto"/>
            <w:noWrap/>
            <w:vAlign w:val="center"/>
            <w:hideMark/>
          </w:tcPr>
          <w:p w14:paraId="30E23A76"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0.15</w:t>
            </w:r>
          </w:p>
        </w:tc>
        <w:tc>
          <w:tcPr>
            <w:tcW w:w="257" w:type="pct"/>
            <w:tcBorders>
              <w:top w:val="nil"/>
              <w:left w:val="nil"/>
              <w:bottom w:val="single" w:sz="4" w:space="0" w:color="auto"/>
              <w:right w:val="single" w:sz="4" w:space="0" w:color="auto"/>
            </w:tcBorders>
            <w:shd w:val="clear" w:color="auto" w:fill="auto"/>
            <w:noWrap/>
            <w:vAlign w:val="center"/>
            <w:hideMark/>
          </w:tcPr>
          <w:p w14:paraId="71E99815"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0</w:t>
            </w:r>
          </w:p>
        </w:tc>
        <w:tc>
          <w:tcPr>
            <w:tcW w:w="68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97C47F4"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558" w:type="pct"/>
            <w:vMerge/>
            <w:tcBorders>
              <w:top w:val="single" w:sz="4" w:space="0" w:color="auto"/>
              <w:left w:val="single" w:sz="4" w:space="0" w:color="auto"/>
              <w:bottom w:val="single" w:sz="4" w:space="0" w:color="000000"/>
              <w:right w:val="single" w:sz="4" w:space="0" w:color="auto"/>
            </w:tcBorders>
            <w:vAlign w:val="center"/>
            <w:hideMark/>
          </w:tcPr>
          <w:p w14:paraId="1FE12BE4"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392" w:type="pct"/>
            <w:vMerge/>
            <w:tcBorders>
              <w:top w:val="single" w:sz="4" w:space="0" w:color="auto"/>
              <w:left w:val="single" w:sz="4" w:space="0" w:color="auto"/>
              <w:bottom w:val="single" w:sz="4" w:space="0" w:color="000000"/>
              <w:right w:val="single" w:sz="4" w:space="0" w:color="auto"/>
            </w:tcBorders>
            <w:vAlign w:val="center"/>
            <w:hideMark/>
          </w:tcPr>
          <w:p w14:paraId="1C5D91E9"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r>
      <w:tr w:rsidR="00F90043" w:rsidRPr="00D51CE3" w14:paraId="01655686" w14:textId="77777777" w:rsidTr="00F90043">
        <w:trPr>
          <w:trHeight w:val="750"/>
        </w:trPr>
        <w:tc>
          <w:tcPr>
            <w:tcW w:w="590" w:type="pct"/>
            <w:vMerge/>
            <w:tcBorders>
              <w:top w:val="single" w:sz="4" w:space="0" w:color="auto"/>
              <w:left w:val="single" w:sz="4" w:space="0" w:color="auto"/>
              <w:bottom w:val="single" w:sz="4" w:space="0" w:color="000000"/>
              <w:right w:val="single" w:sz="4" w:space="0" w:color="auto"/>
            </w:tcBorders>
            <w:vAlign w:val="center"/>
            <w:hideMark/>
          </w:tcPr>
          <w:p w14:paraId="1994450D" w14:textId="77777777" w:rsidR="00F90043" w:rsidRPr="00D51CE3" w:rsidRDefault="00F90043" w:rsidP="00F90043">
            <w:pPr>
              <w:spacing w:after="0" w:line="240" w:lineRule="auto"/>
              <w:rPr>
                <w:rFonts w:ascii="Calibri" w:eastAsia="Times New Roman" w:hAnsi="Calibri" w:cs="Times New Roman"/>
                <w:b/>
                <w:bCs/>
                <w:color w:val="FFFFFF"/>
                <w:sz w:val="18"/>
                <w:szCs w:val="18"/>
                <w:lang w:val="es-ES" w:eastAsia="es-ES"/>
              </w:rPr>
            </w:pPr>
          </w:p>
        </w:tc>
        <w:tc>
          <w:tcPr>
            <w:tcW w:w="616" w:type="pct"/>
            <w:tcBorders>
              <w:top w:val="nil"/>
              <w:left w:val="nil"/>
              <w:bottom w:val="single" w:sz="4" w:space="0" w:color="auto"/>
              <w:right w:val="single" w:sz="4" w:space="0" w:color="auto"/>
            </w:tcBorders>
            <w:shd w:val="clear" w:color="auto" w:fill="auto"/>
            <w:vAlign w:val="center"/>
            <w:hideMark/>
          </w:tcPr>
          <w:p w14:paraId="6829C5E2"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23.4 Enlace al texto</w:t>
            </w:r>
          </w:p>
        </w:tc>
        <w:tc>
          <w:tcPr>
            <w:tcW w:w="1646"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59957DA"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257" w:type="pct"/>
            <w:tcBorders>
              <w:top w:val="single" w:sz="4" w:space="0" w:color="auto"/>
              <w:left w:val="nil"/>
              <w:bottom w:val="nil"/>
              <w:right w:val="single" w:sz="4" w:space="0" w:color="auto"/>
            </w:tcBorders>
            <w:shd w:val="clear" w:color="auto" w:fill="auto"/>
            <w:noWrap/>
            <w:vAlign w:val="center"/>
            <w:hideMark/>
          </w:tcPr>
          <w:p w14:paraId="06CC1D7E"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0.15</w:t>
            </w:r>
          </w:p>
        </w:tc>
        <w:tc>
          <w:tcPr>
            <w:tcW w:w="257" w:type="pct"/>
            <w:tcBorders>
              <w:top w:val="nil"/>
              <w:left w:val="nil"/>
              <w:bottom w:val="single" w:sz="4" w:space="0" w:color="auto"/>
              <w:right w:val="single" w:sz="4" w:space="0" w:color="auto"/>
            </w:tcBorders>
            <w:shd w:val="clear" w:color="auto" w:fill="auto"/>
            <w:noWrap/>
            <w:vAlign w:val="center"/>
            <w:hideMark/>
          </w:tcPr>
          <w:p w14:paraId="5F940F56"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0</w:t>
            </w:r>
          </w:p>
        </w:tc>
        <w:tc>
          <w:tcPr>
            <w:tcW w:w="68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E1D48A8"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558" w:type="pct"/>
            <w:vMerge/>
            <w:tcBorders>
              <w:top w:val="single" w:sz="4" w:space="0" w:color="auto"/>
              <w:left w:val="single" w:sz="4" w:space="0" w:color="auto"/>
              <w:bottom w:val="single" w:sz="4" w:space="0" w:color="000000"/>
              <w:right w:val="single" w:sz="4" w:space="0" w:color="auto"/>
            </w:tcBorders>
            <w:vAlign w:val="center"/>
            <w:hideMark/>
          </w:tcPr>
          <w:p w14:paraId="54793CE2"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392" w:type="pct"/>
            <w:vMerge/>
            <w:tcBorders>
              <w:top w:val="single" w:sz="4" w:space="0" w:color="auto"/>
              <w:left w:val="single" w:sz="4" w:space="0" w:color="auto"/>
              <w:bottom w:val="single" w:sz="4" w:space="0" w:color="000000"/>
              <w:right w:val="single" w:sz="4" w:space="0" w:color="auto"/>
            </w:tcBorders>
            <w:vAlign w:val="center"/>
            <w:hideMark/>
          </w:tcPr>
          <w:p w14:paraId="4A217A80"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r>
      <w:tr w:rsidR="00F90043" w:rsidRPr="00D51CE3" w14:paraId="5896B612" w14:textId="77777777" w:rsidTr="00F90043">
        <w:trPr>
          <w:trHeight w:val="750"/>
        </w:trPr>
        <w:tc>
          <w:tcPr>
            <w:tcW w:w="590" w:type="pct"/>
            <w:vMerge/>
            <w:tcBorders>
              <w:top w:val="single" w:sz="4" w:space="0" w:color="auto"/>
              <w:left w:val="single" w:sz="4" w:space="0" w:color="auto"/>
              <w:bottom w:val="single" w:sz="4" w:space="0" w:color="000000"/>
              <w:right w:val="single" w:sz="4" w:space="0" w:color="auto"/>
            </w:tcBorders>
            <w:vAlign w:val="center"/>
            <w:hideMark/>
          </w:tcPr>
          <w:p w14:paraId="27B4F3E0" w14:textId="77777777" w:rsidR="00F90043" w:rsidRPr="00D51CE3" w:rsidRDefault="00F90043" w:rsidP="00F90043">
            <w:pPr>
              <w:spacing w:after="0" w:line="240" w:lineRule="auto"/>
              <w:rPr>
                <w:rFonts w:ascii="Calibri" w:eastAsia="Times New Roman" w:hAnsi="Calibri" w:cs="Times New Roman"/>
                <w:b/>
                <w:bCs/>
                <w:color w:val="FFFFFF"/>
                <w:sz w:val="18"/>
                <w:szCs w:val="18"/>
                <w:lang w:val="es-ES" w:eastAsia="es-ES"/>
              </w:rPr>
            </w:pPr>
          </w:p>
        </w:tc>
        <w:tc>
          <w:tcPr>
            <w:tcW w:w="616" w:type="pct"/>
            <w:tcBorders>
              <w:top w:val="nil"/>
              <w:left w:val="nil"/>
              <w:bottom w:val="single" w:sz="4" w:space="0" w:color="auto"/>
              <w:right w:val="single" w:sz="4" w:space="0" w:color="auto"/>
            </w:tcBorders>
            <w:shd w:val="clear" w:color="auto" w:fill="auto"/>
            <w:vAlign w:val="center"/>
            <w:hideMark/>
          </w:tcPr>
          <w:p w14:paraId="63FC9DC2"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23.5 Actualización trimestral (8 períodos)</w:t>
            </w:r>
          </w:p>
        </w:tc>
        <w:tc>
          <w:tcPr>
            <w:tcW w:w="1646" w:type="pct"/>
            <w:tcBorders>
              <w:top w:val="nil"/>
              <w:left w:val="nil"/>
              <w:bottom w:val="single" w:sz="4" w:space="0" w:color="auto"/>
              <w:right w:val="single" w:sz="4" w:space="0" w:color="auto"/>
            </w:tcBorders>
            <w:shd w:val="clear" w:color="auto" w:fill="auto"/>
            <w:vAlign w:val="center"/>
            <w:hideMark/>
          </w:tcPr>
          <w:p w14:paraId="6D3D0875"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Debe incluir actualización a octubre 2017, enero, abril, julio y octubre 2018, y enero, abril y julio 2019</w:t>
            </w:r>
          </w:p>
        </w:tc>
        <w:tc>
          <w:tcPr>
            <w:tcW w:w="257" w:type="pct"/>
            <w:tcBorders>
              <w:top w:val="single" w:sz="4" w:space="0" w:color="auto"/>
              <w:left w:val="nil"/>
              <w:bottom w:val="single" w:sz="4" w:space="0" w:color="auto"/>
              <w:right w:val="single" w:sz="4" w:space="0" w:color="auto"/>
            </w:tcBorders>
            <w:shd w:val="clear" w:color="auto" w:fill="auto"/>
            <w:noWrap/>
            <w:vAlign w:val="center"/>
            <w:hideMark/>
          </w:tcPr>
          <w:p w14:paraId="597A6517"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0.4</w:t>
            </w:r>
          </w:p>
        </w:tc>
        <w:tc>
          <w:tcPr>
            <w:tcW w:w="257" w:type="pct"/>
            <w:tcBorders>
              <w:top w:val="nil"/>
              <w:left w:val="nil"/>
              <w:bottom w:val="single" w:sz="4" w:space="0" w:color="auto"/>
              <w:right w:val="single" w:sz="4" w:space="0" w:color="auto"/>
            </w:tcBorders>
            <w:shd w:val="clear" w:color="auto" w:fill="auto"/>
            <w:noWrap/>
            <w:vAlign w:val="center"/>
            <w:hideMark/>
          </w:tcPr>
          <w:p w14:paraId="47851579" w14:textId="77777777" w:rsidR="00F90043" w:rsidRPr="00D51CE3" w:rsidRDefault="00F90043" w:rsidP="00F90043">
            <w:pPr>
              <w:spacing w:after="0" w:line="240" w:lineRule="auto"/>
              <w:jc w:val="center"/>
              <w:rPr>
                <w:rFonts w:ascii="Calibri" w:eastAsia="Times New Roman" w:hAnsi="Calibri" w:cs="Times New Roman"/>
                <w:color w:val="000000"/>
                <w:sz w:val="18"/>
                <w:szCs w:val="18"/>
                <w:lang w:val="es-ES" w:eastAsia="es-ES"/>
              </w:rPr>
            </w:pPr>
            <w:r w:rsidRPr="00D51CE3">
              <w:rPr>
                <w:rFonts w:ascii="Calibri" w:eastAsia="Times New Roman" w:hAnsi="Calibri" w:cs="Times New Roman"/>
                <w:color w:val="000000"/>
                <w:sz w:val="18"/>
                <w:szCs w:val="18"/>
                <w:lang w:val="es-ES" w:eastAsia="es-ES"/>
              </w:rPr>
              <w:t>0</w:t>
            </w:r>
          </w:p>
        </w:tc>
        <w:tc>
          <w:tcPr>
            <w:tcW w:w="68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7958EEF"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558" w:type="pct"/>
            <w:vMerge/>
            <w:tcBorders>
              <w:top w:val="single" w:sz="4" w:space="0" w:color="auto"/>
              <w:left w:val="single" w:sz="4" w:space="0" w:color="auto"/>
              <w:bottom w:val="single" w:sz="4" w:space="0" w:color="000000"/>
              <w:right w:val="single" w:sz="4" w:space="0" w:color="auto"/>
            </w:tcBorders>
            <w:vAlign w:val="center"/>
            <w:hideMark/>
          </w:tcPr>
          <w:p w14:paraId="1F9947B5"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c>
          <w:tcPr>
            <w:tcW w:w="392" w:type="pct"/>
            <w:vMerge/>
            <w:tcBorders>
              <w:top w:val="single" w:sz="4" w:space="0" w:color="auto"/>
              <w:left w:val="single" w:sz="4" w:space="0" w:color="auto"/>
              <w:bottom w:val="single" w:sz="4" w:space="0" w:color="000000"/>
              <w:right w:val="single" w:sz="4" w:space="0" w:color="auto"/>
            </w:tcBorders>
            <w:vAlign w:val="center"/>
            <w:hideMark/>
          </w:tcPr>
          <w:p w14:paraId="5660BF46" w14:textId="77777777" w:rsidR="00F90043" w:rsidRPr="00D51CE3" w:rsidRDefault="00F90043" w:rsidP="00F90043">
            <w:pPr>
              <w:spacing w:after="0" w:line="240" w:lineRule="auto"/>
              <w:rPr>
                <w:rFonts w:ascii="Calibri" w:eastAsia="Times New Roman" w:hAnsi="Calibri" w:cs="Times New Roman"/>
                <w:color w:val="000000"/>
                <w:sz w:val="18"/>
                <w:szCs w:val="18"/>
                <w:lang w:val="es-ES" w:eastAsia="es-ES"/>
              </w:rPr>
            </w:pPr>
          </w:p>
        </w:tc>
      </w:tr>
    </w:tbl>
    <w:p w14:paraId="28D3C1FB" w14:textId="77777777" w:rsidR="003F2822" w:rsidRPr="00AA0EF3" w:rsidRDefault="003F2822">
      <w:pPr>
        <w:rPr>
          <w:sz w:val="20"/>
          <w:szCs w:val="20"/>
        </w:rPr>
      </w:pPr>
    </w:p>
    <w:p w14:paraId="5EC5942C" w14:textId="77777777" w:rsidR="00F90043" w:rsidRPr="00F90043" w:rsidRDefault="00F90043" w:rsidP="00F90043">
      <w:pPr>
        <w:jc w:val="both"/>
        <w:rPr>
          <w:sz w:val="20"/>
          <w:szCs w:val="20"/>
        </w:rPr>
      </w:pPr>
      <w:r w:rsidRPr="00F90043">
        <w:rPr>
          <w:sz w:val="20"/>
          <w:szCs w:val="20"/>
        </w:rPr>
        <w:t>Las Resoluciones ejecutoriadas, se encuentran actualizadas, se observa que en otros ítems si se da un porcentaje y acá se pondera de forma absoluta y no se valora que se encuentra completa y actualizada.</w:t>
      </w:r>
    </w:p>
    <w:p w14:paraId="5CD23B97" w14:textId="77777777" w:rsidR="00F90043" w:rsidRPr="00F90043" w:rsidRDefault="00F90043" w:rsidP="00F90043">
      <w:pPr>
        <w:jc w:val="both"/>
        <w:rPr>
          <w:sz w:val="20"/>
          <w:szCs w:val="20"/>
        </w:rPr>
      </w:pPr>
      <w:r>
        <w:rPr>
          <w:noProof/>
          <w:lang w:val="es-ES" w:eastAsia="es-ES"/>
        </w:rPr>
        <w:drawing>
          <wp:anchor distT="0" distB="0" distL="114300" distR="114300" simplePos="0" relativeHeight="251658240" behindDoc="0" locked="0" layoutInCell="1" allowOverlap="1" wp14:anchorId="57ADBFD2" wp14:editId="3FA4B14F">
            <wp:simplePos x="0" y="0"/>
            <wp:positionH relativeFrom="margin">
              <wp:posOffset>175895</wp:posOffset>
            </wp:positionH>
            <wp:positionV relativeFrom="paragraph">
              <wp:posOffset>414020</wp:posOffset>
            </wp:positionV>
            <wp:extent cx="5679440" cy="4166235"/>
            <wp:effectExtent l="0" t="0" r="0" b="571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cstate="print">
                      <a:extLst>
                        <a:ext uri="{28A0092B-C50C-407E-A947-70E740481C1C}">
                          <a14:useLocalDpi xmlns:a14="http://schemas.microsoft.com/office/drawing/2010/main" val="0"/>
                        </a:ext>
                      </a:extLst>
                    </a:blip>
                    <a:srcRect l="14725" t="3665" r="18418" b="5510"/>
                    <a:stretch/>
                  </pic:blipFill>
                  <pic:spPr bwMode="auto">
                    <a:xfrm>
                      <a:off x="0" y="0"/>
                      <a:ext cx="5679440" cy="41662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hyperlink r:id="rId5" w:history="1">
        <w:r w:rsidRPr="00F90043">
          <w:rPr>
            <w:rStyle w:val="Hipervnculo"/>
            <w:sz w:val="20"/>
            <w:szCs w:val="20"/>
          </w:rPr>
          <w:t>https://www.transparencia.gob.sv/institutions/opamss/documents/resoluciones-ejecutoriadas</w:t>
        </w:r>
      </w:hyperlink>
    </w:p>
    <w:p w14:paraId="0845075F" w14:textId="77777777" w:rsidR="00F90043" w:rsidRDefault="00F90043">
      <w:pPr>
        <w:rPr>
          <w:sz w:val="20"/>
          <w:szCs w:val="20"/>
        </w:rPr>
      </w:pPr>
    </w:p>
    <w:tbl>
      <w:tblPr>
        <w:tblpPr w:leftFromText="141" w:rightFromText="141" w:vertAnchor="text" w:horzAnchor="margin" w:tblpXSpec="center" w:tblpY="60"/>
        <w:tblW w:w="5964" w:type="pct"/>
        <w:tblCellMar>
          <w:left w:w="70" w:type="dxa"/>
          <w:right w:w="70" w:type="dxa"/>
        </w:tblCellMar>
        <w:tblLook w:val="04A0" w:firstRow="1" w:lastRow="0" w:firstColumn="1" w:lastColumn="0" w:noHBand="0" w:noVBand="1"/>
      </w:tblPr>
      <w:tblGrid>
        <w:gridCol w:w="1050"/>
        <w:gridCol w:w="1183"/>
        <w:gridCol w:w="3556"/>
        <w:gridCol w:w="480"/>
        <w:gridCol w:w="480"/>
        <w:gridCol w:w="1315"/>
        <w:gridCol w:w="1091"/>
        <w:gridCol w:w="977"/>
      </w:tblGrid>
      <w:tr w:rsidR="00F90043" w:rsidRPr="00630A91" w14:paraId="0CAC6CDB" w14:textId="77777777" w:rsidTr="00F90043">
        <w:trPr>
          <w:trHeight w:val="1020"/>
        </w:trPr>
        <w:tc>
          <w:tcPr>
            <w:tcW w:w="518" w:type="pct"/>
            <w:vMerge w:val="restart"/>
            <w:tcBorders>
              <w:top w:val="single" w:sz="4" w:space="0" w:color="auto"/>
              <w:left w:val="single" w:sz="4" w:space="0" w:color="auto"/>
              <w:bottom w:val="single" w:sz="4" w:space="0" w:color="000000"/>
              <w:right w:val="single" w:sz="4" w:space="0" w:color="auto"/>
            </w:tcBorders>
            <w:shd w:val="clear" w:color="000000" w:fill="2F75B5"/>
            <w:vAlign w:val="center"/>
            <w:hideMark/>
          </w:tcPr>
          <w:p w14:paraId="5B38701F" w14:textId="77777777" w:rsidR="00F90043" w:rsidRPr="00630A91" w:rsidRDefault="00F90043" w:rsidP="00F90043">
            <w:pPr>
              <w:spacing w:after="0" w:line="240" w:lineRule="auto"/>
              <w:jc w:val="center"/>
              <w:rPr>
                <w:rFonts w:ascii="Calibri" w:eastAsia="Times New Roman" w:hAnsi="Calibri" w:cs="Times New Roman"/>
                <w:b/>
                <w:bCs/>
                <w:color w:val="FFFFFF"/>
                <w:sz w:val="18"/>
                <w:szCs w:val="18"/>
                <w:lang w:val="es-ES" w:eastAsia="es-ES"/>
              </w:rPr>
            </w:pPr>
            <w:r w:rsidRPr="00630A91">
              <w:rPr>
                <w:rFonts w:ascii="Calibri" w:eastAsia="Times New Roman" w:hAnsi="Calibri" w:cs="Times New Roman"/>
                <w:b/>
                <w:bCs/>
                <w:color w:val="FFFFFF"/>
                <w:sz w:val="18"/>
                <w:szCs w:val="18"/>
                <w:lang w:val="es-ES" w:eastAsia="es-ES"/>
              </w:rPr>
              <w:lastRenderedPageBreak/>
              <w:t>Índice de información reservada</w:t>
            </w:r>
          </w:p>
        </w:tc>
        <w:tc>
          <w:tcPr>
            <w:tcW w:w="584" w:type="pct"/>
            <w:tcBorders>
              <w:top w:val="single" w:sz="4" w:space="0" w:color="auto"/>
              <w:left w:val="nil"/>
              <w:bottom w:val="single" w:sz="4" w:space="0" w:color="auto"/>
              <w:right w:val="single" w:sz="4" w:space="0" w:color="auto"/>
            </w:tcBorders>
            <w:shd w:val="clear" w:color="auto" w:fill="auto"/>
            <w:vAlign w:val="center"/>
            <w:hideMark/>
          </w:tcPr>
          <w:p w14:paraId="1F324056" w14:textId="77777777" w:rsidR="00F90043" w:rsidRPr="00630A91" w:rsidRDefault="00F90043" w:rsidP="00F90043">
            <w:pPr>
              <w:spacing w:after="0" w:line="240" w:lineRule="auto"/>
              <w:jc w:val="center"/>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25.1 Enlace al índice de información reservada presentado al IAIP</w:t>
            </w:r>
          </w:p>
        </w:tc>
        <w:tc>
          <w:tcPr>
            <w:tcW w:w="1755" w:type="pct"/>
            <w:tcBorders>
              <w:top w:val="single" w:sz="4" w:space="0" w:color="auto"/>
              <w:left w:val="nil"/>
              <w:bottom w:val="nil"/>
              <w:right w:val="single" w:sz="4" w:space="0" w:color="auto"/>
            </w:tcBorders>
            <w:shd w:val="clear" w:color="auto" w:fill="auto"/>
            <w:vAlign w:val="center"/>
            <w:hideMark/>
          </w:tcPr>
          <w:p w14:paraId="65DAEC5F" w14:textId="77777777" w:rsidR="00F90043" w:rsidRPr="00630A91" w:rsidRDefault="00F90043" w:rsidP="00F90043">
            <w:pPr>
              <w:spacing w:after="0" w:line="240" w:lineRule="auto"/>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Deberá elaborarse la plantilla de conformidad con lo establecido por el Instituto. De igual manera, deberá publicarse la constancia de presentación del mismo ante el Instituto.</w:t>
            </w:r>
          </w:p>
        </w:tc>
        <w:tc>
          <w:tcPr>
            <w:tcW w:w="237" w:type="pct"/>
            <w:tcBorders>
              <w:top w:val="single" w:sz="4" w:space="0" w:color="auto"/>
              <w:left w:val="nil"/>
              <w:bottom w:val="nil"/>
              <w:right w:val="single" w:sz="4" w:space="0" w:color="auto"/>
            </w:tcBorders>
            <w:shd w:val="clear" w:color="auto" w:fill="auto"/>
            <w:noWrap/>
            <w:vAlign w:val="center"/>
            <w:hideMark/>
          </w:tcPr>
          <w:p w14:paraId="1AAADD25" w14:textId="77777777" w:rsidR="00F90043" w:rsidRPr="00630A91" w:rsidRDefault="00F90043" w:rsidP="00F90043">
            <w:pPr>
              <w:spacing w:after="0" w:line="240" w:lineRule="auto"/>
              <w:jc w:val="center"/>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0.6</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27F285BF" w14:textId="77777777" w:rsidR="00F90043" w:rsidRPr="00630A91" w:rsidRDefault="00F90043" w:rsidP="00F90043">
            <w:pPr>
              <w:spacing w:after="0" w:line="240" w:lineRule="auto"/>
              <w:jc w:val="center"/>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0</w:t>
            </w:r>
          </w:p>
        </w:tc>
        <w:tc>
          <w:tcPr>
            <w:tcW w:w="6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01B7CC" w14:textId="77777777" w:rsidR="00F90043" w:rsidRPr="00630A91" w:rsidRDefault="00F90043" w:rsidP="00F90043">
            <w:pPr>
              <w:spacing w:after="0" w:line="240" w:lineRule="auto"/>
              <w:jc w:val="center"/>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Hace falta el índice a diciembre 2017.</w:t>
            </w:r>
          </w:p>
        </w:tc>
        <w:tc>
          <w:tcPr>
            <w:tcW w:w="53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F4C48E" w14:textId="77777777" w:rsidR="00F90043" w:rsidRPr="00630A91" w:rsidRDefault="00F90043" w:rsidP="00F90043">
            <w:pPr>
              <w:spacing w:after="0" w:line="240" w:lineRule="auto"/>
              <w:jc w:val="center"/>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Se observa actualización a julio 2018, enero y octubre 2019</w:t>
            </w:r>
          </w:p>
        </w:tc>
        <w:tc>
          <w:tcPr>
            <w:tcW w:w="48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25654F" w14:textId="77777777" w:rsidR="00F90043" w:rsidRPr="00630A91" w:rsidRDefault="00F90043" w:rsidP="00F90043">
            <w:pPr>
              <w:spacing w:after="0" w:line="240" w:lineRule="auto"/>
              <w:jc w:val="center"/>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Incompleto</w:t>
            </w:r>
          </w:p>
        </w:tc>
      </w:tr>
      <w:tr w:rsidR="00F90043" w:rsidRPr="00630A91" w14:paraId="714780D8" w14:textId="77777777" w:rsidTr="00F90043">
        <w:trPr>
          <w:trHeight w:val="510"/>
        </w:trPr>
        <w:tc>
          <w:tcPr>
            <w:tcW w:w="518" w:type="pct"/>
            <w:vMerge/>
            <w:tcBorders>
              <w:top w:val="single" w:sz="4" w:space="0" w:color="auto"/>
              <w:left w:val="single" w:sz="4" w:space="0" w:color="auto"/>
              <w:bottom w:val="single" w:sz="4" w:space="0" w:color="000000"/>
              <w:right w:val="single" w:sz="4" w:space="0" w:color="auto"/>
            </w:tcBorders>
            <w:vAlign w:val="center"/>
            <w:hideMark/>
          </w:tcPr>
          <w:p w14:paraId="4DD8C947" w14:textId="77777777" w:rsidR="00F90043" w:rsidRPr="00630A91" w:rsidRDefault="00F90043" w:rsidP="00F90043">
            <w:pPr>
              <w:spacing w:after="0" w:line="240" w:lineRule="auto"/>
              <w:rPr>
                <w:rFonts w:ascii="Calibri" w:eastAsia="Times New Roman" w:hAnsi="Calibri" w:cs="Times New Roman"/>
                <w:b/>
                <w:bCs/>
                <w:color w:val="FFFFFF"/>
                <w:sz w:val="18"/>
                <w:szCs w:val="18"/>
                <w:lang w:val="es-ES" w:eastAsia="es-ES"/>
              </w:rPr>
            </w:pPr>
          </w:p>
        </w:tc>
        <w:tc>
          <w:tcPr>
            <w:tcW w:w="584" w:type="pct"/>
            <w:tcBorders>
              <w:top w:val="nil"/>
              <w:left w:val="nil"/>
              <w:bottom w:val="single" w:sz="4" w:space="0" w:color="auto"/>
              <w:right w:val="single" w:sz="4" w:space="0" w:color="auto"/>
            </w:tcBorders>
            <w:shd w:val="clear" w:color="auto" w:fill="auto"/>
            <w:vAlign w:val="center"/>
            <w:hideMark/>
          </w:tcPr>
          <w:p w14:paraId="10AE79B8" w14:textId="77777777" w:rsidR="00F90043" w:rsidRPr="00630A91" w:rsidRDefault="00F90043" w:rsidP="00F90043">
            <w:pPr>
              <w:spacing w:after="0" w:line="240" w:lineRule="auto"/>
              <w:jc w:val="center"/>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25.2 Actualización semestral (4 períodos)</w:t>
            </w:r>
          </w:p>
        </w:tc>
        <w:tc>
          <w:tcPr>
            <w:tcW w:w="1755" w:type="pct"/>
            <w:tcBorders>
              <w:top w:val="single" w:sz="4" w:space="0" w:color="auto"/>
              <w:left w:val="nil"/>
              <w:bottom w:val="single" w:sz="4" w:space="0" w:color="auto"/>
              <w:right w:val="single" w:sz="4" w:space="0" w:color="auto"/>
            </w:tcBorders>
            <w:shd w:val="clear" w:color="auto" w:fill="auto"/>
            <w:vAlign w:val="center"/>
            <w:hideMark/>
          </w:tcPr>
          <w:p w14:paraId="108041EB" w14:textId="77777777" w:rsidR="00F90043" w:rsidRPr="00630A91" w:rsidRDefault="00F90043" w:rsidP="00F90043">
            <w:pPr>
              <w:spacing w:after="0" w:line="240" w:lineRule="auto"/>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Debe tener actualización a enero y julio 2018 y a enero y julio 2019</w:t>
            </w:r>
          </w:p>
        </w:tc>
        <w:tc>
          <w:tcPr>
            <w:tcW w:w="237" w:type="pct"/>
            <w:tcBorders>
              <w:top w:val="single" w:sz="4" w:space="0" w:color="auto"/>
              <w:left w:val="nil"/>
              <w:bottom w:val="single" w:sz="4" w:space="0" w:color="auto"/>
              <w:right w:val="single" w:sz="4" w:space="0" w:color="auto"/>
            </w:tcBorders>
            <w:shd w:val="clear" w:color="auto" w:fill="auto"/>
            <w:noWrap/>
            <w:vAlign w:val="center"/>
            <w:hideMark/>
          </w:tcPr>
          <w:p w14:paraId="236D7F15" w14:textId="77777777" w:rsidR="00F90043" w:rsidRPr="00630A91" w:rsidRDefault="00F90043" w:rsidP="00F90043">
            <w:pPr>
              <w:spacing w:after="0" w:line="240" w:lineRule="auto"/>
              <w:jc w:val="center"/>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0.4</w:t>
            </w:r>
          </w:p>
        </w:tc>
        <w:tc>
          <w:tcPr>
            <w:tcW w:w="237" w:type="pct"/>
            <w:tcBorders>
              <w:top w:val="nil"/>
              <w:left w:val="nil"/>
              <w:bottom w:val="single" w:sz="4" w:space="0" w:color="auto"/>
              <w:right w:val="single" w:sz="4" w:space="0" w:color="auto"/>
            </w:tcBorders>
            <w:shd w:val="clear" w:color="auto" w:fill="auto"/>
            <w:noWrap/>
            <w:vAlign w:val="center"/>
            <w:hideMark/>
          </w:tcPr>
          <w:p w14:paraId="3AB110A3" w14:textId="77777777" w:rsidR="00F90043" w:rsidRPr="00630A91" w:rsidRDefault="00F90043" w:rsidP="00F90043">
            <w:pPr>
              <w:spacing w:after="0" w:line="240" w:lineRule="auto"/>
              <w:jc w:val="center"/>
              <w:rPr>
                <w:rFonts w:ascii="Calibri" w:eastAsia="Times New Roman" w:hAnsi="Calibri" w:cs="Times New Roman"/>
                <w:color w:val="000000"/>
                <w:sz w:val="18"/>
                <w:szCs w:val="18"/>
                <w:lang w:val="es-ES" w:eastAsia="es-ES"/>
              </w:rPr>
            </w:pPr>
            <w:r w:rsidRPr="00630A91">
              <w:rPr>
                <w:rFonts w:ascii="Calibri" w:eastAsia="Times New Roman" w:hAnsi="Calibri" w:cs="Times New Roman"/>
                <w:color w:val="000000"/>
                <w:sz w:val="18"/>
                <w:szCs w:val="18"/>
                <w:lang w:val="es-ES" w:eastAsia="es-ES"/>
              </w:rPr>
              <w:t>0</w:t>
            </w:r>
          </w:p>
        </w:tc>
        <w:tc>
          <w:tcPr>
            <w:tcW w:w="64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D8060C" w14:textId="77777777" w:rsidR="00F90043" w:rsidRPr="00630A91" w:rsidRDefault="00F90043" w:rsidP="00F90043">
            <w:pPr>
              <w:spacing w:after="0" w:line="240" w:lineRule="auto"/>
              <w:rPr>
                <w:rFonts w:ascii="Calibri" w:eastAsia="Times New Roman" w:hAnsi="Calibri" w:cs="Times New Roman"/>
                <w:color w:val="000000"/>
                <w:sz w:val="18"/>
                <w:szCs w:val="18"/>
                <w:lang w:val="es-ES" w:eastAsia="es-ES"/>
              </w:rPr>
            </w:pPr>
          </w:p>
        </w:tc>
        <w:tc>
          <w:tcPr>
            <w:tcW w:w="5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6CC31E" w14:textId="77777777" w:rsidR="00F90043" w:rsidRPr="00630A91" w:rsidRDefault="00F90043" w:rsidP="00F90043">
            <w:pPr>
              <w:spacing w:after="0" w:line="240" w:lineRule="auto"/>
              <w:rPr>
                <w:rFonts w:ascii="Calibri" w:eastAsia="Times New Roman" w:hAnsi="Calibri" w:cs="Times New Roman"/>
                <w:color w:val="000000"/>
                <w:sz w:val="18"/>
                <w:szCs w:val="18"/>
                <w:lang w:val="es-ES" w:eastAsia="es-ES"/>
              </w:rPr>
            </w:pPr>
          </w:p>
        </w:tc>
        <w:tc>
          <w:tcPr>
            <w:tcW w:w="48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8617AF" w14:textId="77777777" w:rsidR="00F90043" w:rsidRPr="00630A91" w:rsidRDefault="00F90043" w:rsidP="00F90043">
            <w:pPr>
              <w:spacing w:after="0" w:line="240" w:lineRule="auto"/>
              <w:rPr>
                <w:rFonts w:ascii="Calibri" w:eastAsia="Times New Roman" w:hAnsi="Calibri" w:cs="Times New Roman"/>
                <w:color w:val="000000"/>
                <w:sz w:val="18"/>
                <w:szCs w:val="18"/>
                <w:lang w:val="es-ES" w:eastAsia="es-ES"/>
              </w:rPr>
            </w:pPr>
          </w:p>
        </w:tc>
      </w:tr>
    </w:tbl>
    <w:p w14:paraId="5F26CA5D" w14:textId="77777777" w:rsidR="00630A91" w:rsidRDefault="00630A91" w:rsidP="00F90043">
      <w:pPr>
        <w:jc w:val="both"/>
        <w:rPr>
          <w:sz w:val="20"/>
          <w:szCs w:val="20"/>
        </w:rPr>
      </w:pPr>
    </w:p>
    <w:p w14:paraId="6E2E4133" w14:textId="77777777" w:rsidR="00D8612E" w:rsidRPr="00D8612E" w:rsidRDefault="00D8612E" w:rsidP="00F90043">
      <w:pPr>
        <w:jc w:val="both"/>
        <w:rPr>
          <w:sz w:val="20"/>
          <w:szCs w:val="20"/>
        </w:rPr>
      </w:pPr>
      <w:r>
        <w:rPr>
          <w:sz w:val="20"/>
          <w:szCs w:val="20"/>
        </w:rPr>
        <w:t>Se observa que el índice de enero a Julio 2018 si se encuentra en el portal</w:t>
      </w:r>
      <w:r w:rsidR="00587F97">
        <w:rPr>
          <w:sz w:val="20"/>
          <w:szCs w:val="20"/>
        </w:rPr>
        <w:t xml:space="preserve"> y del año 2019 está de enero a junio del 2019 y posteriormente a diciembre 2019 (incluye julio)</w:t>
      </w:r>
      <w:r w:rsidR="00362342">
        <w:rPr>
          <w:sz w:val="20"/>
          <w:szCs w:val="20"/>
        </w:rPr>
        <w:t xml:space="preserve"> por lo que si se encuentran dichos años.</w:t>
      </w:r>
    </w:p>
    <w:p w14:paraId="7F88458C" w14:textId="77777777" w:rsidR="00D8612E" w:rsidRDefault="00365B6F" w:rsidP="00F90043">
      <w:pPr>
        <w:jc w:val="both"/>
        <w:rPr>
          <w:sz w:val="20"/>
          <w:szCs w:val="20"/>
        </w:rPr>
      </w:pPr>
      <w:hyperlink r:id="rId6" w:history="1">
        <w:r w:rsidR="00D8612E" w:rsidRPr="00D8612E">
          <w:rPr>
            <w:rStyle w:val="Hipervnculo"/>
            <w:sz w:val="20"/>
            <w:szCs w:val="20"/>
          </w:rPr>
          <w:t>https://www.transparencia.gob.sv/institutions/opamss/documents/indice-de-informacion-reservada</w:t>
        </w:r>
      </w:hyperlink>
    </w:p>
    <w:p w14:paraId="29E10E29" w14:textId="77777777" w:rsidR="00E41815" w:rsidRDefault="00E41815" w:rsidP="00F90043">
      <w:pPr>
        <w:jc w:val="both"/>
        <w:rPr>
          <w:sz w:val="20"/>
          <w:szCs w:val="20"/>
        </w:rPr>
      </w:pPr>
    </w:p>
    <w:tbl>
      <w:tblPr>
        <w:tblW w:w="6045" w:type="pct"/>
        <w:tblInd w:w="-720" w:type="dxa"/>
        <w:tblLayout w:type="fixed"/>
        <w:tblCellMar>
          <w:left w:w="70" w:type="dxa"/>
          <w:right w:w="70" w:type="dxa"/>
        </w:tblCellMar>
        <w:tblLook w:val="04A0" w:firstRow="1" w:lastRow="0" w:firstColumn="1" w:lastColumn="0" w:noHBand="0" w:noVBand="1"/>
      </w:tblPr>
      <w:tblGrid>
        <w:gridCol w:w="1090"/>
        <w:gridCol w:w="1342"/>
        <w:gridCol w:w="3372"/>
        <w:gridCol w:w="421"/>
        <w:gridCol w:w="421"/>
        <w:gridCol w:w="1258"/>
        <w:gridCol w:w="1091"/>
        <w:gridCol w:w="1280"/>
      </w:tblGrid>
      <w:tr w:rsidR="007265D0" w:rsidRPr="00E41815" w14:paraId="6541FB98" w14:textId="77777777" w:rsidTr="007265D0">
        <w:trPr>
          <w:trHeight w:val="1530"/>
        </w:trPr>
        <w:tc>
          <w:tcPr>
            <w:tcW w:w="530" w:type="pct"/>
            <w:tcBorders>
              <w:top w:val="single" w:sz="4" w:space="0" w:color="auto"/>
              <w:left w:val="nil"/>
              <w:bottom w:val="single" w:sz="4" w:space="0" w:color="auto"/>
              <w:right w:val="single" w:sz="4" w:space="0" w:color="auto"/>
            </w:tcBorders>
            <w:shd w:val="clear" w:color="000000" w:fill="2F75B5"/>
            <w:vAlign w:val="center"/>
            <w:hideMark/>
          </w:tcPr>
          <w:p w14:paraId="39E90FF0" w14:textId="77777777" w:rsidR="00E41815" w:rsidRPr="00E41815" w:rsidRDefault="00E41815" w:rsidP="00E41815">
            <w:pPr>
              <w:spacing w:after="0" w:line="240" w:lineRule="auto"/>
              <w:jc w:val="center"/>
              <w:rPr>
                <w:rFonts w:ascii="Calibri" w:eastAsia="Times New Roman" w:hAnsi="Calibri" w:cs="Times New Roman"/>
                <w:b/>
                <w:bCs/>
                <w:color w:val="FFFFFF"/>
                <w:sz w:val="18"/>
                <w:szCs w:val="18"/>
                <w:lang w:val="es-ES" w:eastAsia="es-ES"/>
              </w:rPr>
            </w:pPr>
            <w:r w:rsidRPr="00E41815">
              <w:rPr>
                <w:rFonts w:ascii="Calibri" w:eastAsia="Times New Roman" w:hAnsi="Calibri" w:cs="Times New Roman"/>
                <w:b/>
                <w:bCs/>
                <w:color w:val="FFFFFF"/>
                <w:sz w:val="18"/>
                <w:szCs w:val="18"/>
                <w:lang w:val="es-ES" w:eastAsia="es-ES"/>
              </w:rPr>
              <w:t>Guía de organización de archivos</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3D154A3F" w14:textId="77777777" w:rsidR="00E41815" w:rsidRPr="00E41815" w:rsidRDefault="00E41815" w:rsidP="00E41815">
            <w:pPr>
              <w:spacing w:after="0" w:line="240" w:lineRule="auto"/>
              <w:jc w:val="center"/>
              <w:rPr>
                <w:rFonts w:ascii="Calibri" w:eastAsia="Times New Roman" w:hAnsi="Calibri" w:cs="Times New Roman"/>
                <w:color w:val="000000"/>
                <w:sz w:val="18"/>
                <w:szCs w:val="18"/>
                <w:lang w:val="es-ES" w:eastAsia="es-ES"/>
              </w:rPr>
            </w:pPr>
            <w:r w:rsidRPr="00E41815">
              <w:rPr>
                <w:rFonts w:ascii="Calibri" w:eastAsia="Times New Roman" w:hAnsi="Calibri" w:cs="Times New Roman"/>
                <w:color w:val="000000"/>
                <w:sz w:val="18"/>
                <w:szCs w:val="18"/>
                <w:lang w:val="es-ES" w:eastAsia="es-ES"/>
              </w:rPr>
              <w:t>26.1 Guías o determinación de que no aplica</w:t>
            </w:r>
          </w:p>
        </w:tc>
        <w:tc>
          <w:tcPr>
            <w:tcW w:w="1641" w:type="pct"/>
            <w:tcBorders>
              <w:top w:val="single" w:sz="4" w:space="0" w:color="auto"/>
              <w:left w:val="nil"/>
              <w:bottom w:val="single" w:sz="4" w:space="0" w:color="auto"/>
              <w:right w:val="single" w:sz="4" w:space="0" w:color="auto"/>
            </w:tcBorders>
            <w:shd w:val="clear" w:color="auto" w:fill="auto"/>
            <w:vAlign w:val="center"/>
            <w:hideMark/>
          </w:tcPr>
          <w:p w14:paraId="74CE277A" w14:textId="77777777" w:rsidR="00E41815" w:rsidRPr="00E41815" w:rsidRDefault="00E41815" w:rsidP="00E41815">
            <w:pPr>
              <w:spacing w:after="0" w:line="240" w:lineRule="auto"/>
              <w:rPr>
                <w:rFonts w:ascii="Calibri" w:eastAsia="Times New Roman" w:hAnsi="Calibri" w:cs="Times New Roman"/>
                <w:color w:val="000000"/>
                <w:sz w:val="18"/>
                <w:szCs w:val="18"/>
                <w:lang w:val="es-ES" w:eastAsia="es-ES"/>
              </w:rPr>
            </w:pPr>
            <w:r w:rsidRPr="00E41815">
              <w:rPr>
                <w:rFonts w:ascii="Calibri" w:eastAsia="Times New Roman" w:hAnsi="Calibri" w:cs="Times New Roman"/>
                <w:color w:val="000000"/>
                <w:sz w:val="18"/>
                <w:szCs w:val="18"/>
                <w:lang w:val="es-ES" w:eastAsia="es-ES"/>
              </w:rPr>
              <w:t xml:space="preserve">Se publicarán los instrumentos que contengan la Tabla de Plazos de Conservación Documental, Guía de Archivo y Actas de eliminación de documentos dentro del cuadro de clasificación documental. </w:t>
            </w:r>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14:paraId="23CD764C" w14:textId="77777777" w:rsidR="00E41815" w:rsidRPr="00E41815" w:rsidRDefault="00E41815" w:rsidP="00E41815">
            <w:pPr>
              <w:spacing w:after="0" w:line="240" w:lineRule="auto"/>
              <w:jc w:val="center"/>
              <w:rPr>
                <w:rFonts w:ascii="Calibri" w:eastAsia="Times New Roman" w:hAnsi="Calibri" w:cs="Times New Roman"/>
                <w:color w:val="000000"/>
                <w:sz w:val="18"/>
                <w:szCs w:val="18"/>
                <w:lang w:val="es-ES" w:eastAsia="es-ES"/>
              </w:rPr>
            </w:pPr>
            <w:r w:rsidRPr="00E41815">
              <w:rPr>
                <w:rFonts w:ascii="Calibri" w:eastAsia="Times New Roman" w:hAnsi="Calibri" w:cs="Times New Roman"/>
                <w:color w:val="000000"/>
                <w:sz w:val="18"/>
                <w:szCs w:val="18"/>
                <w:lang w:val="es-ES" w:eastAsia="es-ES"/>
              </w:rPr>
              <w:t>1</w:t>
            </w:r>
          </w:p>
        </w:tc>
        <w:tc>
          <w:tcPr>
            <w:tcW w:w="205" w:type="pct"/>
            <w:tcBorders>
              <w:top w:val="single" w:sz="4" w:space="0" w:color="auto"/>
              <w:left w:val="nil"/>
              <w:bottom w:val="single" w:sz="4" w:space="0" w:color="auto"/>
              <w:right w:val="single" w:sz="4" w:space="0" w:color="auto"/>
            </w:tcBorders>
            <w:shd w:val="clear" w:color="auto" w:fill="auto"/>
            <w:noWrap/>
            <w:vAlign w:val="center"/>
            <w:hideMark/>
          </w:tcPr>
          <w:p w14:paraId="1C400892" w14:textId="77777777" w:rsidR="00E41815" w:rsidRPr="00E41815" w:rsidRDefault="00E41815" w:rsidP="00E41815">
            <w:pPr>
              <w:spacing w:after="0" w:line="240" w:lineRule="auto"/>
              <w:jc w:val="center"/>
              <w:rPr>
                <w:rFonts w:ascii="Calibri" w:eastAsia="Times New Roman" w:hAnsi="Calibri" w:cs="Times New Roman"/>
                <w:color w:val="000000"/>
                <w:sz w:val="18"/>
                <w:szCs w:val="18"/>
                <w:lang w:val="es-ES" w:eastAsia="es-ES"/>
              </w:rPr>
            </w:pPr>
            <w:r w:rsidRPr="00E41815">
              <w:rPr>
                <w:rFonts w:ascii="Calibri" w:eastAsia="Times New Roman" w:hAnsi="Calibri" w:cs="Times New Roman"/>
                <w:color w:val="000000"/>
                <w:sz w:val="18"/>
                <w:szCs w:val="18"/>
                <w:lang w:val="es-ES" w:eastAsia="es-ES"/>
              </w:rPr>
              <w:t>0</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5F957D0A" w14:textId="77777777" w:rsidR="00E41815" w:rsidRPr="00E41815" w:rsidRDefault="00E41815" w:rsidP="00E41815">
            <w:pPr>
              <w:spacing w:after="0" w:line="240" w:lineRule="auto"/>
              <w:jc w:val="center"/>
              <w:rPr>
                <w:rFonts w:ascii="Calibri" w:eastAsia="Times New Roman" w:hAnsi="Calibri" w:cs="Times New Roman"/>
                <w:color w:val="000000"/>
                <w:sz w:val="18"/>
                <w:szCs w:val="18"/>
                <w:lang w:val="es-ES" w:eastAsia="es-ES"/>
              </w:rPr>
            </w:pPr>
            <w:r w:rsidRPr="00E41815">
              <w:rPr>
                <w:rFonts w:ascii="Calibri" w:eastAsia="Times New Roman" w:hAnsi="Calibri" w:cs="Times New Roman"/>
                <w:color w:val="000000"/>
                <w:sz w:val="18"/>
                <w:szCs w:val="18"/>
                <w:lang w:val="es-ES" w:eastAsia="es-ES"/>
              </w:rPr>
              <w:t xml:space="preserve">No se publica la Guía de archivos 2019. El acta de inexistencia de tabla de plazos está en formato no seleccionable. </w:t>
            </w:r>
          </w:p>
        </w:tc>
        <w:tc>
          <w:tcPr>
            <w:tcW w:w="531" w:type="pct"/>
            <w:tcBorders>
              <w:top w:val="single" w:sz="4" w:space="0" w:color="auto"/>
              <w:left w:val="nil"/>
              <w:bottom w:val="single" w:sz="4" w:space="0" w:color="auto"/>
              <w:right w:val="single" w:sz="4" w:space="0" w:color="auto"/>
            </w:tcBorders>
            <w:shd w:val="clear" w:color="auto" w:fill="auto"/>
            <w:vAlign w:val="center"/>
            <w:hideMark/>
          </w:tcPr>
          <w:p w14:paraId="04EAC4B9" w14:textId="77777777" w:rsidR="00E41815" w:rsidRPr="00E41815" w:rsidRDefault="00E41815" w:rsidP="00E41815">
            <w:pPr>
              <w:spacing w:after="0" w:line="240" w:lineRule="auto"/>
              <w:jc w:val="center"/>
              <w:rPr>
                <w:rFonts w:ascii="Calibri" w:eastAsia="Times New Roman" w:hAnsi="Calibri" w:cs="Times New Roman"/>
                <w:color w:val="000000"/>
                <w:sz w:val="18"/>
                <w:szCs w:val="18"/>
                <w:lang w:val="es-ES" w:eastAsia="es-ES"/>
              </w:rPr>
            </w:pPr>
            <w:r w:rsidRPr="00E41815">
              <w:rPr>
                <w:rFonts w:ascii="Calibri" w:eastAsia="Times New Roman" w:hAnsi="Calibri" w:cs="Times New Roman"/>
                <w:color w:val="000000"/>
                <w:sz w:val="18"/>
                <w:szCs w:val="18"/>
                <w:lang w:val="es-ES" w:eastAsia="es-ES"/>
              </w:rPr>
              <w:t>La actualización es anual</w:t>
            </w:r>
          </w:p>
        </w:tc>
        <w:tc>
          <w:tcPr>
            <w:tcW w:w="623" w:type="pct"/>
            <w:tcBorders>
              <w:top w:val="single" w:sz="4" w:space="0" w:color="auto"/>
              <w:left w:val="nil"/>
              <w:bottom w:val="single" w:sz="4" w:space="0" w:color="auto"/>
              <w:right w:val="single" w:sz="4" w:space="0" w:color="auto"/>
            </w:tcBorders>
            <w:shd w:val="clear" w:color="auto" w:fill="auto"/>
            <w:vAlign w:val="center"/>
            <w:hideMark/>
          </w:tcPr>
          <w:p w14:paraId="3D89A9C0" w14:textId="77777777" w:rsidR="00E41815" w:rsidRPr="00E41815" w:rsidRDefault="00E41815" w:rsidP="00E41815">
            <w:pPr>
              <w:spacing w:after="0" w:line="240" w:lineRule="auto"/>
              <w:jc w:val="center"/>
              <w:rPr>
                <w:rFonts w:ascii="Calibri" w:eastAsia="Times New Roman" w:hAnsi="Calibri" w:cs="Times New Roman"/>
                <w:color w:val="000000"/>
                <w:sz w:val="18"/>
                <w:szCs w:val="18"/>
                <w:lang w:val="es-ES" w:eastAsia="es-ES"/>
              </w:rPr>
            </w:pPr>
            <w:r w:rsidRPr="00E41815">
              <w:rPr>
                <w:rFonts w:ascii="Calibri" w:eastAsia="Times New Roman" w:hAnsi="Calibri" w:cs="Times New Roman"/>
                <w:color w:val="000000"/>
                <w:sz w:val="18"/>
                <w:szCs w:val="18"/>
                <w:lang w:val="es-ES" w:eastAsia="es-ES"/>
              </w:rPr>
              <w:t>Desactualizado</w:t>
            </w:r>
          </w:p>
        </w:tc>
      </w:tr>
    </w:tbl>
    <w:p w14:paraId="2F5DF60C" w14:textId="77777777" w:rsidR="00E41815" w:rsidRDefault="00E41815" w:rsidP="00F90043">
      <w:pPr>
        <w:jc w:val="both"/>
        <w:rPr>
          <w:sz w:val="20"/>
          <w:szCs w:val="20"/>
        </w:rPr>
      </w:pPr>
    </w:p>
    <w:p w14:paraId="42B4FF8E" w14:textId="77777777" w:rsidR="007265D0" w:rsidRDefault="007265D0" w:rsidP="00F90043">
      <w:pPr>
        <w:jc w:val="both"/>
        <w:rPr>
          <w:sz w:val="20"/>
          <w:szCs w:val="20"/>
        </w:rPr>
      </w:pPr>
      <w:r>
        <w:rPr>
          <w:sz w:val="20"/>
          <w:szCs w:val="20"/>
        </w:rPr>
        <w:t>Éste sí se encuentra actualizado en el portal desde el mes de marzo del año 2019 y no se colocó el punto completo</w:t>
      </w:r>
      <w:r w:rsidR="00763B8D">
        <w:rPr>
          <w:sz w:val="20"/>
          <w:szCs w:val="20"/>
        </w:rPr>
        <w:t xml:space="preserve"> o ponderación, ya que si está disponible la guía.</w:t>
      </w:r>
    </w:p>
    <w:p w14:paraId="34BCB238" w14:textId="77777777" w:rsidR="007265D0" w:rsidRDefault="007179C3" w:rsidP="00F90043">
      <w:pPr>
        <w:jc w:val="both"/>
      </w:pPr>
      <w:r>
        <w:rPr>
          <w:noProof/>
          <w:lang w:val="es-ES" w:eastAsia="es-ES"/>
        </w:rPr>
        <w:drawing>
          <wp:anchor distT="0" distB="0" distL="114300" distR="114300" simplePos="0" relativeHeight="251659264" behindDoc="0" locked="0" layoutInCell="1" allowOverlap="1" wp14:anchorId="2C32EB42" wp14:editId="3878085C">
            <wp:simplePos x="0" y="0"/>
            <wp:positionH relativeFrom="margin">
              <wp:posOffset>-215845</wp:posOffset>
            </wp:positionH>
            <wp:positionV relativeFrom="paragraph">
              <wp:posOffset>512141</wp:posOffset>
            </wp:positionV>
            <wp:extent cx="5895340" cy="4173855"/>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17080" t="14397" r="18863" b="4988"/>
                    <a:stretch/>
                  </pic:blipFill>
                  <pic:spPr bwMode="auto">
                    <a:xfrm>
                      <a:off x="0" y="0"/>
                      <a:ext cx="5895340" cy="41738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hyperlink r:id="rId8" w:history="1">
        <w:r>
          <w:rPr>
            <w:rStyle w:val="Hipervnculo"/>
          </w:rPr>
          <w:t>https://www.transparencia.gob.sv/institutions/opamss/documents/guia-de-organizacion-de-archivos</w:t>
        </w:r>
      </w:hyperlink>
    </w:p>
    <w:p w14:paraId="460DDAB2" w14:textId="77777777" w:rsidR="007179C3" w:rsidRDefault="007179C3" w:rsidP="00F90043">
      <w:pPr>
        <w:jc w:val="both"/>
      </w:pPr>
    </w:p>
    <w:tbl>
      <w:tblPr>
        <w:tblW w:w="5999" w:type="pct"/>
        <w:tblInd w:w="-545" w:type="dxa"/>
        <w:tblCellMar>
          <w:left w:w="70" w:type="dxa"/>
          <w:right w:w="70" w:type="dxa"/>
        </w:tblCellMar>
        <w:tblLook w:val="04A0" w:firstRow="1" w:lastRow="0" w:firstColumn="1" w:lastColumn="0" w:noHBand="0" w:noVBand="1"/>
      </w:tblPr>
      <w:tblGrid>
        <w:gridCol w:w="1117"/>
        <w:gridCol w:w="1129"/>
        <w:gridCol w:w="3061"/>
        <w:gridCol w:w="461"/>
        <w:gridCol w:w="391"/>
        <w:gridCol w:w="1761"/>
        <w:gridCol w:w="1026"/>
        <w:gridCol w:w="1245"/>
      </w:tblGrid>
      <w:tr w:rsidR="00E965C2" w:rsidRPr="00E965C2" w14:paraId="027DD60E" w14:textId="77777777" w:rsidTr="006415DF">
        <w:trPr>
          <w:trHeight w:val="855"/>
        </w:trPr>
        <w:tc>
          <w:tcPr>
            <w:tcW w:w="548" w:type="pct"/>
            <w:vMerge w:val="restart"/>
            <w:tcBorders>
              <w:top w:val="single" w:sz="4" w:space="0" w:color="auto"/>
              <w:left w:val="single" w:sz="4" w:space="0" w:color="auto"/>
              <w:bottom w:val="single" w:sz="4" w:space="0" w:color="000000"/>
              <w:right w:val="single" w:sz="4" w:space="0" w:color="auto"/>
            </w:tcBorders>
            <w:shd w:val="clear" w:color="000000" w:fill="2F75B5"/>
            <w:vAlign w:val="center"/>
            <w:hideMark/>
          </w:tcPr>
          <w:p w14:paraId="1C8BBC07" w14:textId="77777777" w:rsidR="00E965C2" w:rsidRPr="00E965C2" w:rsidRDefault="00E965C2" w:rsidP="00E965C2">
            <w:pPr>
              <w:spacing w:after="0" w:line="240" w:lineRule="auto"/>
              <w:jc w:val="center"/>
              <w:rPr>
                <w:rFonts w:ascii="Calibri" w:eastAsia="Times New Roman" w:hAnsi="Calibri" w:cs="Times New Roman"/>
                <w:b/>
                <w:bCs/>
                <w:color w:val="FFFFFF"/>
                <w:sz w:val="18"/>
                <w:szCs w:val="18"/>
                <w:lang w:val="es-ES" w:eastAsia="es-ES"/>
              </w:rPr>
            </w:pPr>
            <w:r w:rsidRPr="00E965C2">
              <w:rPr>
                <w:rFonts w:ascii="Calibri" w:eastAsia="Times New Roman" w:hAnsi="Calibri" w:cs="Times New Roman"/>
                <w:b/>
                <w:bCs/>
                <w:color w:val="FFFFFF"/>
                <w:sz w:val="18"/>
                <w:szCs w:val="18"/>
                <w:lang w:val="es-ES" w:eastAsia="es-ES"/>
              </w:rPr>
              <w:lastRenderedPageBreak/>
              <w:t>Resoluciones de la Unidad de Acceso a la Información Pública</w:t>
            </w:r>
          </w:p>
        </w:tc>
        <w:tc>
          <w:tcPr>
            <w:tcW w:w="554" w:type="pct"/>
            <w:tcBorders>
              <w:top w:val="single" w:sz="4" w:space="0" w:color="auto"/>
              <w:left w:val="nil"/>
              <w:bottom w:val="single" w:sz="4" w:space="0" w:color="auto"/>
              <w:right w:val="single" w:sz="4" w:space="0" w:color="auto"/>
            </w:tcBorders>
            <w:shd w:val="clear" w:color="auto" w:fill="auto"/>
            <w:vAlign w:val="center"/>
            <w:hideMark/>
          </w:tcPr>
          <w:p w14:paraId="37B91875"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27.1 Listado</w:t>
            </w:r>
          </w:p>
        </w:tc>
        <w:tc>
          <w:tcPr>
            <w:tcW w:w="150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EC1805"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 xml:space="preserve">Se deberá colocar el listado de las resoluciones a las solicitudes de información recibidas, así como colocar el enlace a la resolución emitida por el Oficial de Información. Además, deberá colocarse la información que se entregó al solicitante en la resolución emitida. </w:t>
            </w:r>
          </w:p>
        </w:tc>
        <w:tc>
          <w:tcPr>
            <w:tcW w:w="226" w:type="pct"/>
            <w:tcBorders>
              <w:top w:val="single" w:sz="4" w:space="0" w:color="auto"/>
              <w:left w:val="nil"/>
              <w:bottom w:val="nil"/>
              <w:right w:val="single" w:sz="4" w:space="0" w:color="auto"/>
            </w:tcBorders>
            <w:shd w:val="clear" w:color="auto" w:fill="auto"/>
            <w:noWrap/>
            <w:vAlign w:val="center"/>
            <w:hideMark/>
          </w:tcPr>
          <w:p w14:paraId="466257A6"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0.15</w:t>
            </w:r>
          </w:p>
        </w:tc>
        <w:tc>
          <w:tcPr>
            <w:tcW w:w="192" w:type="pct"/>
            <w:tcBorders>
              <w:top w:val="single" w:sz="4" w:space="0" w:color="auto"/>
              <w:left w:val="nil"/>
              <w:bottom w:val="single" w:sz="4" w:space="0" w:color="auto"/>
              <w:right w:val="single" w:sz="4" w:space="0" w:color="auto"/>
            </w:tcBorders>
            <w:shd w:val="clear" w:color="auto" w:fill="auto"/>
            <w:noWrap/>
            <w:vAlign w:val="center"/>
            <w:hideMark/>
          </w:tcPr>
          <w:p w14:paraId="45C9615B"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0</w:t>
            </w:r>
          </w:p>
        </w:tc>
        <w:tc>
          <w:tcPr>
            <w:tcW w:w="86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A8C908"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El apartado de los anexos está vacío. Las resoluciones están publicadas hasta enero 2019. Hay resoluciones que no se encuentran publicadas como la 68, 69, 70, 72, 73, 74, 75, todas del 2018, entre otros. Las resoluciones no tienen la razón de versión pública que establece el Art. 30 LAIP y Art. 17 del Lineamiento para tramitación de solicitudes.</w:t>
            </w:r>
          </w:p>
        </w:tc>
        <w:tc>
          <w:tcPr>
            <w:tcW w:w="50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35241A"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La información se publicó en octubre 2019</w:t>
            </w:r>
          </w:p>
        </w:tc>
        <w:tc>
          <w:tcPr>
            <w:tcW w:w="6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B6DE61"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Desactualizado</w:t>
            </w:r>
          </w:p>
        </w:tc>
      </w:tr>
      <w:tr w:rsidR="00E965C2" w:rsidRPr="00E965C2" w14:paraId="607B8B3D" w14:textId="77777777" w:rsidTr="006415DF">
        <w:trPr>
          <w:trHeight w:val="825"/>
        </w:trPr>
        <w:tc>
          <w:tcPr>
            <w:tcW w:w="548" w:type="pct"/>
            <w:vMerge/>
            <w:tcBorders>
              <w:top w:val="single" w:sz="4" w:space="0" w:color="auto"/>
              <w:left w:val="single" w:sz="4" w:space="0" w:color="auto"/>
              <w:bottom w:val="single" w:sz="4" w:space="0" w:color="000000"/>
              <w:right w:val="single" w:sz="4" w:space="0" w:color="auto"/>
            </w:tcBorders>
            <w:vAlign w:val="center"/>
            <w:hideMark/>
          </w:tcPr>
          <w:p w14:paraId="30898E03" w14:textId="77777777" w:rsidR="00E965C2" w:rsidRPr="00E965C2" w:rsidRDefault="00E965C2" w:rsidP="00E965C2">
            <w:pPr>
              <w:spacing w:after="0" w:line="240" w:lineRule="auto"/>
              <w:rPr>
                <w:rFonts w:ascii="Calibri" w:eastAsia="Times New Roman" w:hAnsi="Calibri" w:cs="Times New Roman"/>
                <w:b/>
                <w:bCs/>
                <w:color w:val="FFFFFF"/>
                <w:sz w:val="18"/>
                <w:szCs w:val="18"/>
                <w:lang w:val="es-ES" w:eastAsia="es-ES"/>
              </w:rPr>
            </w:pPr>
          </w:p>
        </w:tc>
        <w:tc>
          <w:tcPr>
            <w:tcW w:w="554" w:type="pct"/>
            <w:tcBorders>
              <w:top w:val="nil"/>
              <w:left w:val="nil"/>
              <w:bottom w:val="single" w:sz="4" w:space="0" w:color="auto"/>
              <w:right w:val="single" w:sz="4" w:space="0" w:color="auto"/>
            </w:tcBorders>
            <w:shd w:val="clear" w:color="auto" w:fill="auto"/>
            <w:vAlign w:val="center"/>
            <w:hideMark/>
          </w:tcPr>
          <w:p w14:paraId="2819CD89"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27.2 Enlace al texto</w:t>
            </w:r>
          </w:p>
        </w:tc>
        <w:tc>
          <w:tcPr>
            <w:tcW w:w="1502"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0EED40E"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c>
          <w:tcPr>
            <w:tcW w:w="226" w:type="pct"/>
            <w:tcBorders>
              <w:top w:val="single" w:sz="4" w:space="0" w:color="auto"/>
              <w:left w:val="nil"/>
              <w:bottom w:val="nil"/>
              <w:right w:val="single" w:sz="4" w:space="0" w:color="auto"/>
            </w:tcBorders>
            <w:shd w:val="clear" w:color="auto" w:fill="auto"/>
            <w:noWrap/>
            <w:vAlign w:val="center"/>
            <w:hideMark/>
          </w:tcPr>
          <w:p w14:paraId="6549DFA8"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0.3</w:t>
            </w:r>
          </w:p>
        </w:tc>
        <w:tc>
          <w:tcPr>
            <w:tcW w:w="192" w:type="pct"/>
            <w:tcBorders>
              <w:top w:val="nil"/>
              <w:left w:val="nil"/>
              <w:bottom w:val="single" w:sz="4" w:space="0" w:color="auto"/>
              <w:right w:val="single" w:sz="4" w:space="0" w:color="auto"/>
            </w:tcBorders>
            <w:shd w:val="clear" w:color="auto" w:fill="auto"/>
            <w:noWrap/>
            <w:vAlign w:val="center"/>
            <w:hideMark/>
          </w:tcPr>
          <w:p w14:paraId="5E162BED"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0</w:t>
            </w:r>
          </w:p>
        </w:tc>
        <w:tc>
          <w:tcPr>
            <w:tcW w:w="86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3A00269"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c>
          <w:tcPr>
            <w:tcW w:w="503" w:type="pct"/>
            <w:vMerge/>
            <w:tcBorders>
              <w:top w:val="single" w:sz="4" w:space="0" w:color="auto"/>
              <w:left w:val="single" w:sz="4" w:space="0" w:color="auto"/>
              <w:bottom w:val="single" w:sz="4" w:space="0" w:color="000000"/>
              <w:right w:val="single" w:sz="4" w:space="0" w:color="auto"/>
            </w:tcBorders>
            <w:vAlign w:val="center"/>
            <w:hideMark/>
          </w:tcPr>
          <w:p w14:paraId="7C892B6A"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c>
          <w:tcPr>
            <w:tcW w:w="611" w:type="pct"/>
            <w:vMerge/>
            <w:tcBorders>
              <w:top w:val="single" w:sz="4" w:space="0" w:color="auto"/>
              <w:left w:val="single" w:sz="4" w:space="0" w:color="auto"/>
              <w:bottom w:val="single" w:sz="4" w:space="0" w:color="000000"/>
              <w:right w:val="single" w:sz="4" w:space="0" w:color="auto"/>
            </w:tcBorders>
            <w:vAlign w:val="center"/>
            <w:hideMark/>
          </w:tcPr>
          <w:p w14:paraId="35538755"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r>
      <w:tr w:rsidR="00E965C2" w:rsidRPr="00E965C2" w14:paraId="5CED8CEC" w14:textId="77777777" w:rsidTr="006415DF">
        <w:trPr>
          <w:trHeight w:val="1065"/>
        </w:trPr>
        <w:tc>
          <w:tcPr>
            <w:tcW w:w="548" w:type="pct"/>
            <w:vMerge/>
            <w:tcBorders>
              <w:top w:val="single" w:sz="4" w:space="0" w:color="auto"/>
              <w:left w:val="single" w:sz="4" w:space="0" w:color="auto"/>
              <w:bottom w:val="single" w:sz="4" w:space="0" w:color="000000"/>
              <w:right w:val="single" w:sz="4" w:space="0" w:color="auto"/>
            </w:tcBorders>
            <w:vAlign w:val="center"/>
            <w:hideMark/>
          </w:tcPr>
          <w:p w14:paraId="7E99884F" w14:textId="77777777" w:rsidR="00E965C2" w:rsidRPr="00E965C2" w:rsidRDefault="00E965C2" w:rsidP="00E965C2">
            <w:pPr>
              <w:spacing w:after="0" w:line="240" w:lineRule="auto"/>
              <w:rPr>
                <w:rFonts w:ascii="Calibri" w:eastAsia="Times New Roman" w:hAnsi="Calibri" w:cs="Times New Roman"/>
                <w:b/>
                <w:bCs/>
                <w:color w:val="FFFFFF"/>
                <w:sz w:val="18"/>
                <w:szCs w:val="18"/>
                <w:lang w:val="es-ES" w:eastAsia="es-ES"/>
              </w:rPr>
            </w:pPr>
          </w:p>
        </w:tc>
        <w:tc>
          <w:tcPr>
            <w:tcW w:w="554" w:type="pct"/>
            <w:tcBorders>
              <w:top w:val="nil"/>
              <w:left w:val="nil"/>
              <w:bottom w:val="single" w:sz="4" w:space="0" w:color="auto"/>
              <w:right w:val="single" w:sz="4" w:space="0" w:color="auto"/>
            </w:tcBorders>
            <w:shd w:val="clear" w:color="auto" w:fill="auto"/>
            <w:vAlign w:val="center"/>
            <w:hideMark/>
          </w:tcPr>
          <w:p w14:paraId="630F4724"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27.3  Anexos</w:t>
            </w:r>
          </w:p>
        </w:tc>
        <w:tc>
          <w:tcPr>
            <w:tcW w:w="1502"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C292770"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c>
          <w:tcPr>
            <w:tcW w:w="226" w:type="pct"/>
            <w:tcBorders>
              <w:top w:val="single" w:sz="4" w:space="0" w:color="auto"/>
              <w:left w:val="nil"/>
              <w:bottom w:val="nil"/>
              <w:right w:val="single" w:sz="4" w:space="0" w:color="auto"/>
            </w:tcBorders>
            <w:shd w:val="clear" w:color="auto" w:fill="auto"/>
            <w:noWrap/>
            <w:vAlign w:val="center"/>
            <w:hideMark/>
          </w:tcPr>
          <w:p w14:paraId="31DADB17"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0.15</w:t>
            </w:r>
          </w:p>
        </w:tc>
        <w:tc>
          <w:tcPr>
            <w:tcW w:w="192" w:type="pct"/>
            <w:tcBorders>
              <w:top w:val="nil"/>
              <w:left w:val="nil"/>
              <w:bottom w:val="single" w:sz="4" w:space="0" w:color="auto"/>
              <w:right w:val="single" w:sz="4" w:space="0" w:color="auto"/>
            </w:tcBorders>
            <w:shd w:val="clear" w:color="auto" w:fill="auto"/>
            <w:noWrap/>
            <w:vAlign w:val="center"/>
            <w:hideMark/>
          </w:tcPr>
          <w:p w14:paraId="3413CE4F"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0</w:t>
            </w:r>
          </w:p>
        </w:tc>
        <w:tc>
          <w:tcPr>
            <w:tcW w:w="86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6DE7514"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c>
          <w:tcPr>
            <w:tcW w:w="503" w:type="pct"/>
            <w:vMerge/>
            <w:tcBorders>
              <w:top w:val="single" w:sz="4" w:space="0" w:color="auto"/>
              <w:left w:val="single" w:sz="4" w:space="0" w:color="auto"/>
              <w:bottom w:val="single" w:sz="4" w:space="0" w:color="000000"/>
              <w:right w:val="single" w:sz="4" w:space="0" w:color="auto"/>
            </w:tcBorders>
            <w:vAlign w:val="center"/>
            <w:hideMark/>
          </w:tcPr>
          <w:p w14:paraId="4F3E6BF0"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c>
          <w:tcPr>
            <w:tcW w:w="611" w:type="pct"/>
            <w:vMerge/>
            <w:tcBorders>
              <w:top w:val="single" w:sz="4" w:space="0" w:color="auto"/>
              <w:left w:val="single" w:sz="4" w:space="0" w:color="auto"/>
              <w:bottom w:val="single" w:sz="4" w:space="0" w:color="000000"/>
              <w:right w:val="single" w:sz="4" w:space="0" w:color="auto"/>
            </w:tcBorders>
            <w:vAlign w:val="center"/>
            <w:hideMark/>
          </w:tcPr>
          <w:p w14:paraId="28BFB0C7"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r>
      <w:tr w:rsidR="00E965C2" w:rsidRPr="00E965C2" w14:paraId="6389B70B" w14:textId="77777777" w:rsidTr="006415DF">
        <w:trPr>
          <w:trHeight w:val="1065"/>
        </w:trPr>
        <w:tc>
          <w:tcPr>
            <w:tcW w:w="548" w:type="pct"/>
            <w:vMerge/>
            <w:tcBorders>
              <w:top w:val="single" w:sz="4" w:space="0" w:color="auto"/>
              <w:left w:val="single" w:sz="4" w:space="0" w:color="auto"/>
              <w:bottom w:val="single" w:sz="4" w:space="0" w:color="000000"/>
              <w:right w:val="single" w:sz="4" w:space="0" w:color="auto"/>
            </w:tcBorders>
            <w:vAlign w:val="center"/>
            <w:hideMark/>
          </w:tcPr>
          <w:p w14:paraId="20441047" w14:textId="77777777" w:rsidR="00E965C2" w:rsidRPr="00E965C2" w:rsidRDefault="00E965C2" w:rsidP="00E965C2">
            <w:pPr>
              <w:spacing w:after="0" w:line="240" w:lineRule="auto"/>
              <w:rPr>
                <w:rFonts w:ascii="Calibri" w:eastAsia="Times New Roman" w:hAnsi="Calibri" w:cs="Times New Roman"/>
                <w:b/>
                <w:bCs/>
                <w:color w:val="FFFFFF"/>
                <w:sz w:val="18"/>
                <w:szCs w:val="18"/>
                <w:lang w:val="es-ES" w:eastAsia="es-ES"/>
              </w:rPr>
            </w:pPr>
          </w:p>
        </w:tc>
        <w:tc>
          <w:tcPr>
            <w:tcW w:w="554" w:type="pct"/>
            <w:tcBorders>
              <w:top w:val="nil"/>
              <w:left w:val="nil"/>
              <w:bottom w:val="single" w:sz="4" w:space="0" w:color="auto"/>
              <w:right w:val="single" w:sz="4" w:space="0" w:color="auto"/>
            </w:tcBorders>
            <w:shd w:val="clear" w:color="auto" w:fill="auto"/>
            <w:vAlign w:val="center"/>
            <w:hideMark/>
          </w:tcPr>
          <w:p w14:paraId="6E3145C3"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27.4 Actualización trimestral (8 períodos)</w:t>
            </w:r>
          </w:p>
        </w:tc>
        <w:tc>
          <w:tcPr>
            <w:tcW w:w="1502" w:type="pct"/>
            <w:tcBorders>
              <w:top w:val="nil"/>
              <w:left w:val="nil"/>
              <w:bottom w:val="single" w:sz="4" w:space="0" w:color="auto"/>
              <w:right w:val="single" w:sz="4" w:space="0" w:color="auto"/>
            </w:tcBorders>
            <w:shd w:val="clear" w:color="auto" w:fill="auto"/>
            <w:vAlign w:val="center"/>
            <w:hideMark/>
          </w:tcPr>
          <w:p w14:paraId="734E3F1A"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Debe incluir actualización a octubre 2017, enero, abril, julio y octubre 2018, y enero, abril y julio 2019</w:t>
            </w:r>
          </w:p>
        </w:tc>
        <w:tc>
          <w:tcPr>
            <w:tcW w:w="226" w:type="pct"/>
            <w:tcBorders>
              <w:top w:val="single" w:sz="4" w:space="0" w:color="auto"/>
              <w:left w:val="nil"/>
              <w:bottom w:val="single" w:sz="4" w:space="0" w:color="auto"/>
              <w:right w:val="single" w:sz="4" w:space="0" w:color="auto"/>
            </w:tcBorders>
            <w:shd w:val="clear" w:color="auto" w:fill="auto"/>
            <w:noWrap/>
            <w:vAlign w:val="center"/>
            <w:hideMark/>
          </w:tcPr>
          <w:p w14:paraId="1BD7ACA1"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0.4</w:t>
            </w:r>
          </w:p>
        </w:tc>
        <w:tc>
          <w:tcPr>
            <w:tcW w:w="192" w:type="pct"/>
            <w:tcBorders>
              <w:top w:val="nil"/>
              <w:left w:val="nil"/>
              <w:bottom w:val="single" w:sz="4" w:space="0" w:color="auto"/>
              <w:right w:val="single" w:sz="4" w:space="0" w:color="auto"/>
            </w:tcBorders>
            <w:shd w:val="clear" w:color="auto" w:fill="auto"/>
            <w:noWrap/>
            <w:vAlign w:val="center"/>
            <w:hideMark/>
          </w:tcPr>
          <w:p w14:paraId="3C064A6B" w14:textId="77777777" w:rsidR="00E965C2" w:rsidRPr="00E965C2" w:rsidRDefault="00E965C2" w:rsidP="00E965C2">
            <w:pPr>
              <w:spacing w:after="0" w:line="240" w:lineRule="auto"/>
              <w:jc w:val="center"/>
              <w:rPr>
                <w:rFonts w:ascii="Calibri" w:eastAsia="Times New Roman" w:hAnsi="Calibri" w:cs="Times New Roman"/>
                <w:color w:val="000000"/>
                <w:sz w:val="18"/>
                <w:szCs w:val="18"/>
                <w:lang w:val="es-ES" w:eastAsia="es-ES"/>
              </w:rPr>
            </w:pPr>
            <w:r w:rsidRPr="00E965C2">
              <w:rPr>
                <w:rFonts w:ascii="Calibri" w:eastAsia="Times New Roman" w:hAnsi="Calibri" w:cs="Times New Roman"/>
                <w:color w:val="000000"/>
                <w:sz w:val="18"/>
                <w:szCs w:val="18"/>
                <w:lang w:val="es-ES" w:eastAsia="es-ES"/>
              </w:rPr>
              <w:t>0</w:t>
            </w:r>
          </w:p>
        </w:tc>
        <w:tc>
          <w:tcPr>
            <w:tcW w:w="8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61D1F9"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c>
          <w:tcPr>
            <w:tcW w:w="503" w:type="pct"/>
            <w:vMerge/>
            <w:tcBorders>
              <w:top w:val="single" w:sz="4" w:space="0" w:color="auto"/>
              <w:left w:val="single" w:sz="4" w:space="0" w:color="auto"/>
              <w:bottom w:val="single" w:sz="4" w:space="0" w:color="000000"/>
              <w:right w:val="single" w:sz="4" w:space="0" w:color="auto"/>
            </w:tcBorders>
            <w:vAlign w:val="center"/>
            <w:hideMark/>
          </w:tcPr>
          <w:p w14:paraId="3BC114E6"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c>
          <w:tcPr>
            <w:tcW w:w="611" w:type="pct"/>
            <w:vMerge/>
            <w:tcBorders>
              <w:top w:val="single" w:sz="4" w:space="0" w:color="auto"/>
              <w:left w:val="single" w:sz="4" w:space="0" w:color="auto"/>
              <w:bottom w:val="single" w:sz="4" w:space="0" w:color="000000"/>
              <w:right w:val="single" w:sz="4" w:space="0" w:color="auto"/>
            </w:tcBorders>
            <w:vAlign w:val="center"/>
            <w:hideMark/>
          </w:tcPr>
          <w:p w14:paraId="794B946B" w14:textId="77777777" w:rsidR="00E965C2" w:rsidRPr="00E965C2" w:rsidRDefault="00E965C2" w:rsidP="00E965C2">
            <w:pPr>
              <w:spacing w:after="0" w:line="240" w:lineRule="auto"/>
              <w:rPr>
                <w:rFonts w:ascii="Calibri" w:eastAsia="Times New Roman" w:hAnsi="Calibri" w:cs="Times New Roman"/>
                <w:color w:val="000000"/>
                <w:sz w:val="18"/>
                <w:szCs w:val="18"/>
                <w:lang w:val="es-ES" w:eastAsia="es-ES"/>
              </w:rPr>
            </w:pPr>
          </w:p>
        </w:tc>
      </w:tr>
    </w:tbl>
    <w:p w14:paraId="354009AC" w14:textId="77777777" w:rsidR="007179C3" w:rsidRDefault="007179C3" w:rsidP="00F90043">
      <w:pPr>
        <w:jc w:val="both"/>
      </w:pPr>
    </w:p>
    <w:p w14:paraId="74BFDBCE" w14:textId="77777777" w:rsidR="006415DF" w:rsidRDefault="006415DF" w:rsidP="00F90043">
      <w:pPr>
        <w:jc w:val="both"/>
        <w:rPr>
          <w:sz w:val="20"/>
          <w:szCs w:val="20"/>
        </w:rPr>
      </w:pPr>
      <w:r w:rsidRPr="006415DF">
        <w:rPr>
          <w:sz w:val="20"/>
          <w:szCs w:val="20"/>
        </w:rPr>
        <w:t>Por desactualización el puntaje en todos los sub apartado</w:t>
      </w:r>
      <w:r w:rsidR="00763B8D">
        <w:rPr>
          <w:sz w:val="20"/>
          <w:szCs w:val="20"/>
        </w:rPr>
        <w:t>s</w:t>
      </w:r>
      <w:r w:rsidRPr="006415DF">
        <w:rPr>
          <w:sz w:val="20"/>
          <w:szCs w:val="20"/>
        </w:rPr>
        <w:t xml:space="preserve"> es totalmente cero, se debería considerar una parte por los años que si se encuentran publicados.</w:t>
      </w:r>
    </w:p>
    <w:p w14:paraId="7F60633F" w14:textId="77777777" w:rsidR="00C230EC" w:rsidRDefault="00C230EC" w:rsidP="00F90043">
      <w:pPr>
        <w:jc w:val="both"/>
        <w:rPr>
          <w:sz w:val="20"/>
          <w:szCs w:val="20"/>
        </w:rPr>
      </w:pPr>
      <w:r>
        <w:rPr>
          <w:sz w:val="20"/>
          <w:szCs w:val="20"/>
        </w:rPr>
        <w:t>Se remite los comentarios sobre ciertos parámetros de la evaluación, con la finalidad de que sean considerados</w:t>
      </w:r>
      <w:r w:rsidR="000B58B9">
        <w:rPr>
          <w:sz w:val="20"/>
          <w:szCs w:val="20"/>
        </w:rPr>
        <w:t xml:space="preserve"> dentro del puntaje.</w:t>
      </w:r>
    </w:p>
    <w:p w14:paraId="2FCC5A01" w14:textId="77777777" w:rsidR="000B58B9" w:rsidRDefault="000B58B9" w:rsidP="00F90043">
      <w:pPr>
        <w:jc w:val="both"/>
        <w:rPr>
          <w:sz w:val="20"/>
          <w:szCs w:val="20"/>
        </w:rPr>
      </w:pPr>
      <w:r>
        <w:rPr>
          <w:sz w:val="20"/>
          <w:szCs w:val="20"/>
        </w:rPr>
        <w:t>Atentamente,</w:t>
      </w:r>
    </w:p>
    <w:p w14:paraId="4DA5A46A" w14:textId="77777777" w:rsidR="000B58B9" w:rsidRDefault="000B58B9" w:rsidP="00F90043">
      <w:pPr>
        <w:jc w:val="both"/>
        <w:rPr>
          <w:sz w:val="20"/>
          <w:szCs w:val="20"/>
        </w:rPr>
      </w:pPr>
    </w:p>
    <w:bookmarkEnd w:id="0"/>
    <w:p w14:paraId="66A15E5B" w14:textId="77777777" w:rsidR="007179C3" w:rsidRPr="00AA0EF3" w:rsidRDefault="007179C3" w:rsidP="00F90043">
      <w:pPr>
        <w:jc w:val="both"/>
        <w:rPr>
          <w:sz w:val="20"/>
          <w:szCs w:val="20"/>
        </w:rPr>
      </w:pPr>
    </w:p>
    <w:sectPr w:rsidR="007179C3" w:rsidRPr="00AA0EF3" w:rsidSect="00AA0EF3">
      <w:pgSz w:w="11906" w:h="16838"/>
      <w:pgMar w:top="1080" w:right="1701" w:bottom="63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822"/>
    <w:rsid w:val="000B58B9"/>
    <w:rsid w:val="00362342"/>
    <w:rsid w:val="00365B6F"/>
    <w:rsid w:val="003936CA"/>
    <w:rsid w:val="003F2822"/>
    <w:rsid w:val="00587F97"/>
    <w:rsid w:val="00630A91"/>
    <w:rsid w:val="006415DF"/>
    <w:rsid w:val="00677443"/>
    <w:rsid w:val="007179C3"/>
    <w:rsid w:val="007265D0"/>
    <w:rsid w:val="00763B8D"/>
    <w:rsid w:val="00837ACF"/>
    <w:rsid w:val="00AA0EF3"/>
    <w:rsid w:val="00B13CAD"/>
    <w:rsid w:val="00C2067B"/>
    <w:rsid w:val="00C230EC"/>
    <w:rsid w:val="00D4237D"/>
    <w:rsid w:val="00D51CE3"/>
    <w:rsid w:val="00D8612E"/>
    <w:rsid w:val="00D86EF2"/>
    <w:rsid w:val="00E41815"/>
    <w:rsid w:val="00E965C2"/>
    <w:rsid w:val="00F900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18DD2"/>
  <w15:chartTrackingRefBased/>
  <w15:docId w15:val="{40198E91-F112-4763-A507-0B89EFA7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AA0E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0036">
      <w:bodyDiv w:val="1"/>
      <w:marLeft w:val="0"/>
      <w:marRight w:val="0"/>
      <w:marTop w:val="0"/>
      <w:marBottom w:val="0"/>
      <w:divBdr>
        <w:top w:val="none" w:sz="0" w:space="0" w:color="auto"/>
        <w:left w:val="none" w:sz="0" w:space="0" w:color="auto"/>
        <w:bottom w:val="none" w:sz="0" w:space="0" w:color="auto"/>
        <w:right w:val="none" w:sz="0" w:space="0" w:color="auto"/>
      </w:divBdr>
    </w:div>
    <w:div w:id="227108967">
      <w:bodyDiv w:val="1"/>
      <w:marLeft w:val="0"/>
      <w:marRight w:val="0"/>
      <w:marTop w:val="0"/>
      <w:marBottom w:val="0"/>
      <w:divBdr>
        <w:top w:val="none" w:sz="0" w:space="0" w:color="auto"/>
        <w:left w:val="none" w:sz="0" w:space="0" w:color="auto"/>
        <w:bottom w:val="none" w:sz="0" w:space="0" w:color="auto"/>
        <w:right w:val="none" w:sz="0" w:space="0" w:color="auto"/>
      </w:divBdr>
    </w:div>
    <w:div w:id="965896040">
      <w:bodyDiv w:val="1"/>
      <w:marLeft w:val="0"/>
      <w:marRight w:val="0"/>
      <w:marTop w:val="0"/>
      <w:marBottom w:val="0"/>
      <w:divBdr>
        <w:top w:val="none" w:sz="0" w:space="0" w:color="auto"/>
        <w:left w:val="none" w:sz="0" w:space="0" w:color="auto"/>
        <w:bottom w:val="none" w:sz="0" w:space="0" w:color="auto"/>
        <w:right w:val="none" w:sz="0" w:space="0" w:color="auto"/>
      </w:divBdr>
    </w:div>
    <w:div w:id="1706102476">
      <w:bodyDiv w:val="1"/>
      <w:marLeft w:val="0"/>
      <w:marRight w:val="0"/>
      <w:marTop w:val="0"/>
      <w:marBottom w:val="0"/>
      <w:divBdr>
        <w:top w:val="none" w:sz="0" w:space="0" w:color="auto"/>
        <w:left w:val="none" w:sz="0" w:space="0" w:color="auto"/>
        <w:bottom w:val="none" w:sz="0" w:space="0" w:color="auto"/>
        <w:right w:val="none" w:sz="0" w:space="0" w:color="auto"/>
      </w:divBdr>
    </w:div>
    <w:div w:id="177066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ansparencia.gob.sv/institutions/opamss/documents/guia-de-organizacion-de-archivos"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ransparencia.gob.sv/institutions/opamss/documents/indice-de-informacion-reservada" TargetMode="External"/><Relationship Id="rId5" Type="http://schemas.openxmlformats.org/officeDocument/2006/relationships/hyperlink" Target="https://www.transparencia.gob.sv/institutions/opamss/documents/resoluciones-ejecutoriadas"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760</Words>
  <Characters>4183</Characters>
  <Application>Microsoft Office Word</Application>
  <DocSecurity>0</DocSecurity>
  <Lines>34</Lines>
  <Paragraphs>9</Paragraphs>
  <ScaleCrop>false</ScaleCrop>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Lizza Marisol Gómez</dc:creator>
  <cp:keywords/>
  <dc:description/>
  <cp:lastModifiedBy>Equipo</cp:lastModifiedBy>
  <cp:revision>2</cp:revision>
  <dcterms:created xsi:type="dcterms:W3CDTF">2020-09-13T02:01:00Z</dcterms:created>
  <dcterms:modified xsi:type="dcterms:W3CDTF">2020-09-13T02:01:00Z</dcterms:modified>
</cp:coreProperties>
</file>