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17A" w:rsidRDefault="0068617A" w:rsidP="0068617A">
      <w:pPr>
        <w:contextualSpacing/>
        <w:jc w:val="right"/>
        <w:rPr>
          <w:rFonts w:ascii="Museo Sans 300" w:hAnsi="Museo Sans 300"/>
          <w:b/>
        </w:rPr>
      </w:pPr>
      <w:r>
        <w:rPr>
          <w:rFonts w:ascii="Museo Sans 300" w:hAnsi="Museo Sans 300"/>
          <w:b/>
        </w:rPr>
        <w:t>Resolución 01-2021</w:t>
      </w:r>
    </w:p>
    <w:p w:rsidR="0068617A" w:rsidRPr="00E979C9" w:rsidRDefault="0068617A" w:rsidP="0068617A">
      <w:pPr>
        <w:contextualSpacing/>
        <w:jc w:val="right"/>
        <w:rPr>
          <w:rFonts w:ascii="Book Antiqua" w:hAnsi="Book Antiqua"/>
          <w:b/>
        </w:rPr>
      </w:pPr>
      <w:r>
        <w:rPr>
          <w:rFonts w:ascii="Museo Sans 300" w:hAnsi="Museo Sans 300"/>
          <w:b/>
        </w:rPr>
        <w:t>ISTA-2021-0004</w:t>
      </w:r>
      <w:r>
        <w:rPr>
          <w:rFonts w:ascii="Book Antiqua" w:hAnsi="Book Antiqua"/>
          <w:b/>
        </w:rPr>
        <w:t xml:space="preserve">                                                    </w:t>
      </w:r>
    </w:p>
    <w:p w:rsidR="0068617A" w:rsidRPr="00E979C9" w:rsidRDefault="0068617A" w:rsidP="0068617A">
      <w:pPr>
        <w:contextualSpacing/>
        <w:rPr>
          <w:rFonts w:ascii="Book Antiqua" w:hAnsi="Book Antiqua"/>
          <w:b/>
        </w:rPr>
      </w:pPr>
    </w:p>
    <w:p w:rsidR="0068617A" w:rsidRPr="00241344" w:rsidRDefault="0068617A" w:rsidP="0068617A">
      <w:pPr>
        <w:spacing w:line="360" w:lineRule="auto"/>
        <w:contextualSpacing/>
        <w:jc w:val="both"/>
        <w:rPr>
          <w:rFonts w:ascii="Museo Sans 300" w:hAnsi="Museo Sans 300"/>
          <w:sz w:val="22"/>
          <w:szCs w:val="22"/>
        </w:rPr>
      </w:pPr>
      <w:r w:rsidRPr="00241344">
        <w:rPr>
          <w:rFonts w:ascii="Museo Sans 300" w:hAnsi="Museo Sans 300"/>
          <w:sz w:val="22"/>
          <w:szCs w:val="22"/>
        </w:rPr>
        <w:t xml:space="preserve">En la Unidad de Acceso a la Información Pública del Instituto Salvadoreño de Transformación Agraria, ubicada en Kilómetro 5 ½ Carretera a Santa Tecla, Colonia y Calle Las Mercedes, ciudad </w:t>
      </w:r>
      <w:r>
        <w:rPr>
          <w:rFonts w:ascii="Museo Sans 300" w:hAnsi="Museo Sans 300"/>
          <w:sz w:val="22"/>
          <w:szCs w:val="22"/>
        </w:rPr>
        <w:t xml:space="preserve">y departamento de San Salvador, </w:t>
      </w:r>
      <w:r w:rsidRPr="00241344">
        <w:rPr>
          <w:rFonts w:ascii="Museo Sans 300" w:hAnsi="Museo Sans 300"/>
          <w:sz w:val="22"/>
          <w:szCs w:val="22"/>
        </w:rPr>
        <w:t>a las</w:t>
      </w:r>
      <w:r>
        <w:rPr>
          <w:rFonts w:ascii="Museo Sans 300" w:hAnsi="Museo Sans 300"/>
          <w:sz w:val="22"/>
          <w:szCs w:val="22"/>
        </w:rPr>
        <w:t xml:space="preserve"> quince</w:t>
      </w:r>
      <w:r w:rsidRPr="00241344">
        <w:rPr>
          <w:rFonts w:ascii="Museo Sans 300" w:hAnsi="Museo Sans 300"/>
          <w:sz w:val="22"/>
          <w:szCs w:val="22"/>
        </w:rPr>
        <w:t xml:space="preserve"> horas con</w:t>
      </w:r>
      <w:r>
        <w:rPr>
          <w:rFonts w:ascii="Museo Sans 300" w:hAnsi="Museo Sans 300"/>
          <w:sz w:val="22"/>
          <w:szCs w:val="22"/>
        </w:rPr>
        <w:t xml:space="preserve"> diez </w:t>
      </w:r>
      <w:r w:rsidRPr="00241344">
        <w:rPr>
          <w:rFonts w:ascii="Museo Sans 300" w:hAnsi="Museo Sans 300"/>
          <w:sz w:val="22"/>
          <w:szCs w:val="22"/>
        </w:rPr>
        <w:t xml:space="preserve">minutos del día </w:t>
      </w:r>
      <w:r>
        <w:rPr>
          <w:rFonts w:ascii="Museo Sans 300" w:hAnsi="Museo Sans 300"/>
          <w:sz w:val="22"/>
          <w:szCs w:val="22"/>
        </w:rPr>
        <w:t>ocho de enero del año dos mil veintiuno</w:t>
      </w:r>
      <w:r w:rsidRPr="00241344">
        <w:rPr>
          <w:rFonts w:ascii="Museo Sans 300" w:hAnsi="Museo Sans 300"/>
          <w:sz w:val="22"/>
          <w:szCs w:val="22"/>
        </w:rPr>
        <w:t xml:space="preserve">. </w:t>
      </w:r>
    </w:p>
    <w:p w:rsidR="0068617A" w:rsidRPr="00241344" w:rsidRDefault="0068617A" w:rsidP="0068617A">
      <w:pPr>
        <w:spacing w:line="360" w:lineRule="auto"/>
        <w:contextualSpacing/>
        <w:jc w:val="both"/>
        <w:rPr>
          <w:rFonts w:ascii="Museo Sans 300" w:hAnsi="Museo Sans 300"/>
          <w:sz w:val="22"/>
          <w:szCs w:val="22"/>
        </w:rPr>
      </w:pPr>
    </w:p>
    <w:p w:rsidR="0068617A" w:rsidRDefault="0068617A" w:rsidP="0068617A">
      <w:pPr>
        <w:spacing w:line="360" w:lineRule="auto"/>
        <w:contextualSpacing/>
        <w:jc w:val="both"/>
        <w:rPr>
          <w:rFonts w:ascii="Museo Sans 300" w:hAnsi="Museo Sans 300"/>
          <w:b/>
          <w:sz w:val="22"/>
          <w:szCs w:val="22"/>
        </w:rPr>
      </w:pPr>
      <w:r w:rsidRPr="00241344">
        <w:rPr>
          <w:rFonts w:ascii="Museo Sans 300" w:hAnsi="Museo Sans 300"/>
          <w:sz w:val="22"/>
          <w:szCs w:val="22"/>
        </w:rPr>
        <w:t>Vista la solicitud de información registrada en esta Unidad</w:t>
      </w:r>
      <w:r>
        <w:rPr>
          <w:rFonts w:ascii="Museo Sans 300" w:hAnsi="Museo Sans 300"/>
          <w:sz w:val="22"/>
          <w:szCs w:val="22"/>
        </w:rPr>
        <w:t xml:space="preserve"> al No ISTA-2021-0004</w:t>
      </w:r>
      <w:r w:rsidRPr="00241344">
        <w:rPr>
          <w:rFonts w:ascii="Museo Sans 300" w:hAnsi="Museo Sans 300"/>
          <w:sz w:val="22"/>
          <w:szCs w:val="22"/>
        </w:rPr>
        <w:t xml:space="preserve">, </w:t>
      </w:r>
      <w:r>
        <w:rPr>
          <w:rFonts w:ascii="Museo Sans 300" w:hAnsi="Museo Sans 300"/>
          <w:sz w:val="22"/>
          <w:szCs w:val="22"/>
        </w:rPr>
        <w:t xml:space="preserve">realizada mediante el correo electrónico </w:t>
      </w:r>
      <w:r w:rsidR="00433998">
        <w:rPr>
          <w:rFonts w:ascii="Museo Sans 300" w:hAnsi="Museo Sans 300"/>
          <w:sz w:val="22"/>
          <w:szCs w:val="22"/>
        </w:rPr>
        <w:t>----------------</w:t>
      </w:r>
      <w:hyperlink r:id="rId7" w:history="1"/>
      <w:r w:rsidR="00433998">
        <w:t xml:space="preserve"> </w:t>
      </w:r>
      <w:r>
        <w:rPr>
          <w:rFonts w:ascii="Museo Sans 300" w:hAnsi="Museo Sans 300"/>
          <w:sz w:val="22"/>
          <w:szCs w:val="22"/>
        </w:rPr>
        <w:t>en la</w:t>
      </w:r>
      <w:r w:rsidRPr="00241344">
        <w:rPr>
          <w:rFonts w:ascii="Museo Sans 300" w:hAnsi="Museo Sans 300"/>
          <w:sz w:val="22"/>
          <w:szCs w:val="22"/>
        </w:rPr>
        <w:t xml:space="preserve"> que </w:t>
      </w:r>
      <w:r>
        <w:rPr>
          <w:rFonts w:ascii="Museo Sans 300" w:hAnsi="Museo Sans 300"/>
          <w:sz w:val="22"/>
          <w:szCs w:val="22"/>
        </w:rPr>
        <w:t>requiere</w:t>
      </w:r>
      <w:r w:rsidRPr="00241344">
        <w:rPr>
          <w:rFonts w:ascii="Museo Sans 300" w:hAnsi="Museo Sans 300"/>
          <w:sz w:val="22"/>
          <w:szCs w:val="22"/>
        </w:rPr>
        <w:t xml:space="preserve">: </w:t>
      </w:r>
      <w:r>
        <w:rPr>
          <w:rFonts w:ascii="Museo Sans 300" w:hAnsi="Museo Sans 300"/>
          <w:sz w:val="22"/>
          <w:szCs w:val="22"/>
          <w:lang w:val="es-SV"/>
        </w:rPr>
        <w:t>“””</w:t>
      </w:r>
      <w:r w:rsidRPr="00DB13D1">
        <w:rPr>
          <w:rFonts w:ascii="Museo Sans 300" w:hAnsi="Museo Sans 300"/>
          <w:sz w:val="22"/>
          <w:szCs w:val="22"/>
          <w:lang w:val="es-SV"/>
        </w:rPr>
        <w:t xml:space="preserve">CON RESPECTO AL INMUEBLE ADQUIRIDO POR EL ISTA, AL SEÑOR </w:t>
      </w:r>
      <w:r w:rsidR="00433998">
        <w:rPr>
          <w:rFonts w:ascii="Museo Sans 300" w:hAnsi="Museo Sans 300"/>
          <w:sz w:val="22"/>
          <w:szCs w:val="22"/>
          <w:lang w:val="es-SV"/>
        </w:rPr>
        <w:t>---------------</w:t>
      </w:r>
      <w:r w:rsidRPr="00DB13D1">
        <w:rPr>
          <w:rFonts w:ascii="Museo Sans 300" w:hAnsi="Museo Sans 300"/>
          <w:sz w:val="22"/>
          <w:szCs w:val="22"/>
          <w:lang w:val="es-SV"/>
        </w:rPr>
        <w:t xml:space="preserve">, EN FECHA DIECISEIS DE OCTUBRE DEL DOS MIL DIECIOCHO, TERRENO DE NATURALEZA RUSTICA SITUADO EN SALINAS DE AYACACHAPA, JURISDICCION DE SONSONATE, DE UN AREA DE </w:t>
      </w:r>
      <w:r w:rsidR="00433998">
        <w:rPr>
          <w:rFonts w:ascii="Museo Sans 300" w:hAnsi="Museo Sans 300"/>
          <w:sz w:val="22"/>
          <w:szCs w:val="22"/>
          <w:lang w:val="es-SV"/>
        </w:rPr>
        <w:t>-------------</w:t>
      </w:r>
      <w:bookmarkStart w:id="0" w:name="_GoBack"/>
      <w:bookmarkEnd w:id="0"/>
      <w:r w:rsidRPr="00DB13D1">
        <w:rPr>
          <w:rFonts w:ascii="Museo Sans 300" w:hAnsi="Museo Sans 300"/>
          <w:sz w:val="22"/>
          <w:szCs w:val="22"/>
          <w:lang w:val="es-SV"/>
        </w:rPr>
        <w:t xml:space="preserve"> METROS CUADRADOS, A LA MATRICULA </w:t>
      </w:r>
      <w:r w:rsidR="00433998">
        <w:rPr>
          <w:rFonts w:ascii="Museo Sans 300" w:hAnsi="Museo Sans 300"/>
          <w:sz w:val="22"/>
          <w:szCs w:val="22"/>
          <w:lang w:val="es-SV"/>
        </w:rPr>
        <w:t>---------- EN EL ASIENTO ----------</w:t>
      </w:r>
      <w:r w:rsidRPr="00DB13D1">
        <w:rPr>
          <w:rFonts w:ascii="Museo Sans 300" w:hAnsi="Museo Sans 300"/>
          <w:sz w:val="22"/>
          <w:szCs w:val="22"/>
          <w:lang w:val="es-SV"/>
        </w:rPr>
        <w:t xml:space="preserve">; </w:t>
      </w:r>
      <w:r w:rsidRPr="00DB13D1">
        <w:rPr>
          <w:rFonts w:ascii="Museo Sans 300" w:hAnsi="Museo Sans 300"/>
          <w:b/>
          <w:sz w:val="22"/>
          <w:szCs w:val="22"/>
          <w:u w:val="single"/>
          <w:lang w:val="es-SV"/>
        </w:rPr>
        <w:t xml:space="preserve">ESPECIFICAMENTE NECESITO QUE SE ME </w:t>
      </w:r>
      <w:r w:rsidRPr="009A5B9D">
        <w:rPr>
          <w:rFonts w:ascii="Museo Sans 300" w:hAnsi="Museo Sans 300"/>
          <w:b/>
          <w:sz w:val="22"/>
          <w:szCs w:val="22"/>
          <w:u w:val="single"/>
          <w:lang w:val="es-SV"/>
        </w:rPr>
        <w:t>INFORME SI EXISTEN ADJUDICACIONES A FAVOR DE BENEFICIARIOS DEL ISTA O SI SE HA DESARROLLADO ALGUN PROYECTO CON LA FINALIDAD DE ADJUDICARLO</w:t>
      </w:r>
      <w:r w:rsidRPr="00DB13D1">
        <w:rPr>
          <w:rFonts w:ascii="Museo Sans 300" w:hAnsi="Museo Sans 300"/>
          <w:sz w:val="22"/>
          <w:szCs w:val="22"/>
          <w:lang w:val="es-SV"/>
        </w:rPr>
        <w:t>, YA SEA PARA VIVIENDA O LOTES AGRICOLA</w:t>
      </w:r>
      <w:r>
        <w:rPr>
          <w:rFonts w:ascii="Museo Sans 300" w:hAnsi="Museo Sans 300"/>
          <w:sz w:val="22"/>
          <w:szCs w:val="22"/>
          <w:lang w:val="es-SV"/>
        </w:rPr>
        <w:t>S”””</w:t>
      </w:r>
      <w:r w:rsidRPr="00241344">
        <w:rPr>
          <w:rFonts w:ascii="Museo Sans 300" w:hAnsi="Museo Sans 300"/>
          <w:sz w:val="22"/>
          <w:szCs w:val="22"/>
        </w:rPr>
        <w:t>, y</w:t>
      </w:r>
      <w:r>
        <w:rPr>
          <w:rFonts w:ascii="Museo Sans 300" w:hAnsi="Museo Sans 300"/>
          <w:sz w:val="22"/>
          <w:szCs w:val="22"/>
        </w:rPr>
        <w:t xml:space="preserve"> luego de analizar el correo electrónico de la peticionaria, </w:t>
      </w:r>
      <w:r w:rsidRPr="00702961">
        <w:rPr>
          <w:rFonts w:ascii="Museo Sans 300" w:hAnsi="Museo Sans 300"/>
          <w:b/>
          <w:sz w:val="22"/>
          <w:szCs w:val="22"/>
        </w:rPr>
        <w:t>considerando:</w:t>
      </w:r>
    </w:p>
    <w:p w:rsidR="0068617A" w:rsidRDefault="0068617A" w:rsidP="0068617A">
      <w:pPr>
        <w:spacing w:line="360" w:lineRule="auto"/>
        <w:contextualSpacing/>
        <w:jc w:val="right"/>
        <w:rPr>
          <w:rFonts w:ascii="Museo Sans 300" w:hAnsi="Museo Sans 300"/>
          <w:b/>
          <w:sz w:val="22"/>
          <w:szCs w:val="22"/>
        </w:rPr>
      </w:pPr>
    </w:p>
    <w:p w:rsidR="0068617A" w:rsidRPr="008846E7" w:rsidRDefault="0068617A" w:rsidP="0068617A">
      <w:pPr>
        <w:pStyle w:val="Prrafodelista"/>
        <w:numPr>
          <w:ilvl w:val="0"/>
          <w:numId w:val="1"/>
        </w:numPr>
        <w:spacing w:line="360" w:lineRule="auto"/>
        <w:jc w:val="both"/>
        <w:rPr>
          <w:rFonts w:ascii="Museo Sans 300" w:hAnsi="Museo Sans 300"/>
          <w:sz w:val="22"/>
          <w:szCs w:val="22"/>
        </w:rPr>
      </w:pPr>
      <w:r w:rsidRPr="00761700">
        <w:rPr>
          <w:rFonts w:ascii="Museo Sans 300" w:hAnsi="Museo Sans 300"/>
          <w:sz w:val="22"/>
          <w:szCs w:val="22"/>
          <w:lang w:val="es-SV"/>
        </w:rPr>
        <w:t xml:space="preserve">los artículos 66 y 54 de la Ley de Acceso a la Información Pública (LAIP), se establecen los requisitos mínimos que debe reunir la solicitud de información para que pueda ser admitida, otorgando al Oficial de Información la facultad de hacer las observaciones que fueren procedentes, con el propósito de esclarecer o superar cualquier defecto para la tramitación de la solicitud, </w:t>
      </w:r>
      <w:r>
        <w:rPr>
          <w:rFonts w:ascii="Museo Sans 300" w:hAnsi="Museo Sans 300"/>
          <w:sz w:val="22"/>
          <w:szCs w:val="22"/>
          <w:lang w:val="es-SV"/>
        </w:rPr>
        <w:t xml:space="preserve">así como del examen de la misma para establecer su admisibilidad, </w:t>
      </w:r>
      <w:r w:rsidRPr="00761700">
        <w:rPr>
          <w:rFonts w:ascii="Museo Sans 300" w:hAnsi="Museo Sans 300"/>
          <w:sz w:val="22"/>
          <w:szCs w:val="22"/>
          <w:lang w:val="es-SV"/>
        </w:rPr>
        <w:t>en ese sentido, se procedió al análisis liminar de la petición, obse</w:t>
      </w:r>
      <w:r>
        <w:rPr>
          <w:rFonts w:ascii="Museo Sans 300" w:hAnsi="Museo Sans 300"/>
          <w:sz w:val="22"/>
          <w:szCs w:val="22"/>
          <w:lang w:val="es-SV"/>
        </w:rPr>
        <w:t>rvando, lo siguiente:</w:t>
      </w:r>
    </w:p>
    <w:p w:rsidR="0068617A" w:rsidRPr="00761700" w:rsidRDefault="0068617A" w:rsidP="0068617A">
      <w:pPr>
        <w:pStyle w:val="Prrafodelista"/>
        <w:spacing w:line="360" w:lineRule="auto"/>
        <w:ind w:left="1080"/>
        <w:jc w:val="both"/>
        <w:rPr>
          <w:rFonts w:ascii="Museo Sans 300" w:hAnsi="Museo Sans 300"/>
          <w:sz w:val="22"/>
          <w:szCs w:val="22"/>
        </w:rPr>
      </w:pPr>
    </w:p>
    <w:p w:rsidR="0068617A" w:rsidRPr="0068617A" w:rsidRDefault="0068617A" w:rsidP="0068617A">
      <w:pPr>
        <w:pStyle w:val="Prrafodelista"/>
        <w:numPr>
          <w:ilvl w:val="0"/>
          <w:numId w:val="1"/>
        </w:numPr>
        <w:spacing w:line="360" w:lineRule="auto"/>
        <w:jc w:val="both"/>
        <w:rPr>
          <w:rFonts w:ascii="Museo Sans 300" w:hAnsi="Museo Sans 300"/>
          <w:sz w:val="22"/>
          <w:szCs w:val="22"/>
          <w:lang w:val="es-SV"/>
        </w:rPr>
      </w:pPr>
      <w:r w:rsidRPr="0068617A">
        <w:rPr>
          <w:rFonts w:ascii="Museo Sans 300" w:hAnsi="Museo Sans 300"/>
          <w:sz w:val="22"/>
          <w:szCs w:val="22"/>
          <w:lang w:val="es-SV"/>
        </w:rPr>
        <w:t xml:space="preserve">Según lo estipula el artículo 66 literal “b” de la Ley de Acceso a la Información Pública-LAIP-, y artículo 52 y 54 literal “c” del Reglamento respectivo, la solicitud de información debe de reunir con los requisitos mínimos que ahí se </w:t>
      </w:r>
      <w:r w:rsidRPr="0068617A">
        <w:rPr>
          <w:rFonts w:ascii="Museo Sans 300" w:hAnsi="Museo Sans 300"/>
          <w:sz w:val="22"/>
          <w:szCs w:val="22"/>
          <w:lang w:val="es-SV"/>
        </w:rPr>
        <w:lastRenderedPageBreak/>
        <w:t xml:space="preserve">señalan para su admisión, tales como nombres, apellidos, domicilio, fotocopia del documentos de identidad, identificación clara de la información que se requiere, y que la solicitud contenga firma autógrafa del solicitante; que permita dar trámite al procedimiento de acceso a la información; caso contrario, el Oficial de Información deberá hacer las observaciones pertinentes. </w:t>
      </w:r>
    </w:p>
    <w:p w:rsidR="0068617A" w:rsidRPr="007F3878" w:rsidRDefault="0068617A" w:rsidP="0068617A">
      <w:pPr>
        <w:pStyle w:val="Prrafodelista"/>
        <w:rPr>
          <w:rFonts w:ascii="Museo Sans 300" w:hAnsi="Museo Sans 300"/>
          <w:sz w:val="22"/>
          <w:szCs w:val="22"/>
          <w:lang w:val="es-SV"/>
        </w:rPr>
      </w:pPr>
    </w:p>
    <w:p w:rsidR="0068617A" w:rsidRDefault="0068617A" w:rsidP="0068617A">
      <w:pPr>
        <w:pStyle w:val="Prrafodelista"/>
        <w:numPr>
          <w:ilvl w:val="0"/>
          <w:numId w:val="1"/>
        </w:numPr>
        <w:spacing w:line="360" w:lineRule="auto"/>
        <w:jc w:val="both"/>
        <w:rPr>
          <w:rFonts w:ascii="Museo Sans 300" w:hAnsi="Museo Sans 300"/>
          <w:sz w:val="22"/>
          <w:szCs w:val="22"/>
          <w:lang w:val="es-SV"/>
        </w:rPr>
      </w:pPr>
      <w:r>
        <w:rPr>
          <w:rFonts w:ascii="Museo Sans 300" w:hAnsi="Museo Sans 300"/>
          <w:sz w:val="22"/>
          <w:szCs w:val="22"/>
          <w:lang w:val="es-SV"/>
        </w:rPr>
        <w:t xml:space="preserve">No obstante lo anterior, debe precisarse que de conformidad con el artículo 6 letra c) de la Ley de Acceso a la Información Pública (LAIP), la información pública es aquella en poder de los entes obligados contenida en </w:t>
      </w:r>
      <w:r w:rsidRPr="009A5B9D">
        <w:rPr>
          <w:rFonts w:ascii="Museo Sans 300" w:hAnsi="Museo Sans 300"/>
          <w:sz w:val="22"/>
          <w:szCs w:val="22"/>
          <w:u w:val="single"/>
          <w:lang w:val="es-SV"/>
        </w:rPr>
        <w:t>documentos, archivos, datos, bases de datos, comunicaciones y todo tipo de registros que documenten el ejercicio de sus facultades o actividades, que consten en cualquier medio, ya sea impreso, óptico o electrónico,</w:t>
      </w:r>
      <w:r>
        <w:rPr>
          <w:rFonts w:ascii="Museo Sans 300" w:hAnsi="Museo Sans 300"/>
          <w:sz w:val="22"/>
          <w:szCs w:val="22"/>
          <w:lang w:val="es-SV"/>
        </w:rPr>
        <w:t xml:space="preserve"> independientemente de su fuente, fecha de elaboración y que no sea confidencial. Dicha información podrá haber sido generada, obtenida, transformada o conservada por éstos a cualquier título. </w:t>
      </w:r>
    </w:p>
    <w:p w:rsidR="0068617A" w:rsidRDefault="0068617A" w:rsidP="0068617A">
      <w:pPr>
        <w:pStyle w:val="Prrafodelista"/>
        <w:spacing w:line="360" w:lineRule="auto"/>
        <w:ind w:left="1080"/>
        <w:jc w:val="both"/>
        <w:rPr>
          <w:rFonts w:ascii="Museo Sans 300" w:hAnsi="Museo Sans 300"/>
          <w:sz w:val="22"/>
          <w:szCs w:val="22"/>
          <w:lang w:val="es-SV"/>
        </w:rPr>
      </w:pPr>
    </w:p>
    <w:p w:rsidR="0068617A" w:rsidRPr="00761700" w:rsidRDefault="0068617A" w:rsidP="0068617A">
      <w:pPr>
        <w:pStyle w:val="Prrafodelista"/>
        <w:numPr>
          <w:ilvl w:val="0"/>
          <w:numId w:val="1"/>
        </w:numPr>
        <w:spacing w:line="360" w:lineRule="auto"/>
        <w:jc w:val="both"/>
        <w:rPr>
          <w:rFonts w:ascii="Museo Sans 300" w:hAnsi="Museo Sans 300"/>
          <w:sz w:val="22"/>
          <w:szCs w:val="22"/>
          <w:lang w:val="es-SV"/>
        </w:rPr>
      </w:pPr>
      <w:r w:rsidRPr="00761700">
        <w:rPr>
          <w:rFonts w:ascii="Museo Sans 300" w:hAnsi="Museo Sans 300"/>
          <w:sz w:val="22"/>
          <w:szCs w:val="22"/>
          <w:lang w:val="es-SV"/>
        </w:rPr>
        <w:t>Bajo esa lógica jurídica, debe entenderse como presupuesto indispensable para el ejercicio del Derecho de Acceso a la Información Pública (DAIP), y de conformidad con el artículo 2 de la LAIP, que la información exista, haya sido generada, administrada y esté en poder de las instituciones públicas y demás entes obligados de manera oportuna, es decir que debe de constar en cualquier medio que sea plenamente identificable; No obstante, de acuerdo a lo requerido, “</w:t>
      </w:r>
      <w:r>
        <w:rPr>
          <w:rFonts w:ascii="Museo Sans 300" w:hAnsi="Museo Sans 300"/>
          <w:sz w:val="22"/>
          <w:szCs w:val="22"/>
          <w:lang w:val="es-SV"/>
        </w:rPr>
        <w:t>…</w:t>
      </w:r>
      <w:r w:rsidRPr="00DB13D1">
        <w:rPr>
          <w:rFonts w:ascii="Museo Sans 300" w:hAnsi="Museo Sans 300"/>
          <w:b/>
          <w:sz w:val="22"/>
          <w:szCs w:val="22"/>
          <w:u w:val="single"/>
          <w:lang w:val="es-SV"/>
        </w:rPr>
        <w:t>INFORME SI EXISTEN ADJUDICACIONES A FAVOR DE BENEFICIARIOS DEL ISTA O SI SE HA DESARROLLADO ALGUN PROYECTO CON LA FINALIDAD DE ADJUDICARL</w:t>
      </w:r>
      <w:r w:rsidRPr="009A5B9D">
        <w:rPr>
          <w:rFonts w:ascii="Museo Sans 300" w:hAnsi="Museo Sans 300"/>
          <w:b/>
          <w:sz w:val="22"/>
          <w:szCs w:val="22"/>
          <w:u w:val="single"/>
          <w:lang w:val="es-SV"/>
        </w:rPr>
        <w:t>O</w:t>
      </w:r>
      <w:r w:rsidRPr="00761700">
        <w:rPr>
          <w:rFonts w:ascii="Museo Sans 300" w:hAnsi="Museo Sans 300"/>
          <w:sz w:val="22"/>
          <w:szCs w:val="22"/>
          <w:lang w:val="es-SV"/>
        </w:rPr>
        <w:t>…”,</w:t>
      </w:r>
      <w:r>
        <w:rPr>
          <w:rFonts w:ascii="Museo Sans 300" w:hAnsi="Museo Sans 300"/>
          <w:sz w:val="22"/>
          <w:szCs w:val="22"/>
          <w:lang w:val="es-SV"/>
        </w:rPr>
        <w:t xml:space="preserve"> </w:t>
      </w:r>
      <w:r w:rsidRPr="00761700">
        <w:rPr>
          <w:rFonts w:ascii="Museo Sans 300" w:hAnsi="Museo Sans 300"/>
          <w:sz w:val="22"/>
          <w:szCs w:val="22"/>
          <w:lang w:val="es-SV"/>
        </w:rPr>
        <w:t>es importante hacerle saber que en el presente caso, al requerir un “informe” este debe de contener</w:t>
      </w:r>
      <w:r>
        <w:rPr>
          <w:rFonts w:ascii="Museo Sans 300" w:hAnsi="Museo Sans 300"/>
          <w:sz w:val="22"/>
          <w:szCs w:val="22"/>
          <w:lang w:val="es-SV"/>
        </w:rPr>
        <w:t xml:space="preserve"> explicaciones sobre el </w:t>
      </w:r>
      <w:r w:rsidRPr="00761700">
        <w:rPr>
          <w:rFonts w:ascii="Museo Sans 300" w:hAnsi="Museo Sans 300"/>
          <w:sz w:val="22"/>
          <w:szCs w:val="22"/>
          <w:lang w:val="es-SV"/>
        </w:rPr>
        <w:t xml:space="preserve">determinado inmueble, documento que debe producirse a partir de las verificaciones que se hagan por las unidades administrativas intervinientes en los procesos de desarrollo de proyectos de </w:t>
      </w:r>
      <w:r w:rsidRPr="00761700">
        <w:rPr>
          <w:rFonts w:ascii="Museo Sans 300" w:hAnsi="Museo Sans 300"/>
          <w:sz w:val="22"/>
          <w:szCs w:val="22"/>
          <w:lang w:val="es-SV"/>
        </w:rPr>
        <w:lastRenderedPageBreak/>
        <w:t>transformación agraria</w:t>
      </w:r>
      <w:r>
        <w:rPr>
          <w:rFonts w:ascii="Museo Sans 300" w:hAnsi="Museo Sans 300"/>
          <w:sz w:val="22"/>
          <w:szCs w:val="22"/>
          <w:lang w:val="es-SV"/>
        </w:rPr>
        <w:t>, así como en los registros de las bases de datos de este Instituto</w:t>
      </w:r>
      <w:r w:rsidRPr="00761700">
        <w:rPr>
          <w:rFonts w:ascii="Museo Sans 300" w:hAnsi="Museo Sans 300"/>
          <w:sz w:val="22"/>
          <w:szCs w:val="22"/>
          <w:lang w:val="es-SV"/>
        </w:rPr>
        <w:t>; en ese sentido, se determina que no está solicitando acceso</w:t>
      </w:r>
      <w:r>
        <w:rPr>
          <w:rFonts w:ascii="Museo Sans 300" w:hAnsi="Museo Sans 300"/>
          <w:sz w:val="22"/>
          <w:szCs w:val="22"/>
          <w:lang w:val="es-SV"/>
        </w:rPr>
        <w:t xml:space="preserve"> a la información pública, sino que la </w:t>
      </w:r>
      <w:r w:rsidRPr="00761700">
        <w:rPr>
          <w:rFonts w:ascii="Museo Sans 300" w:hAnsi="Museo Sans 300"/>
          <w:sz w:val="22"/>
          <w:szCs w:val="22"/>
          <w:lang w:val="es-SV"/>
        </w:rPr>
        <w:t>situación jurídica</w:t>
      </w:r>
      <w:r>
        <w:rPr>
          <w:rFonts w:ascii="Museo Sans 300" w:hAnsi="Museo Sans 300"/>
          <w:sz w:val="22"/>
          <w:szCs w:val="22"/>
          <w:lang w:val="es-SV"/>
        </w:rPr>
        <w:t xml:space="preserve"> y técnica de un inmueble o proyecto, </w:t>
      </w:r>
      <w:r w:rsidRPr="00761700">
        <w:rPr>
          <w:rFonts w:ascii="Museo Sans 300" w:hAnsi="Museo Sans 300"/>
          <w:sz w:val="22"/>
          <w:szCs w:val="22"/>
          <w:lang w:val="es-SV"/>
        </w:rPr>
        <w:t xml:space="preserve">que debe de ser investigada previamente para emitir un pronunciamiento y su consecuente respuesta, lo cual no es competencia de la Unidad de Acceso a la Información Pública, según lo estipula el artículo 62 de la LAIP; pues como ya se expuso, por medio de esta Unidad se pone a disposición información </w:t>
      </w:r>
      <w:r w:rsidRPr="00761700">
        <w:rPr>
          <w:rFonts w:ascii="Museo Sans 300" w:hAnsi="Museo Sans 300"/>
          <w:sz w:val="22"/>
          <w:szCs w:val="22"/>
          <w:u w:val="single"/>
          <w:lang w:val="es-SV"/>
        </w:rPr>
        <w:t>generada</w:t>
      </w:r>
      <w:r w:rsidRPr="00761700">
        <w:rPr>
          <w:rFonts w:ascii="Museo Sans 300" w:hAnsi="Museo Sans 300"/>
          <w:sz w:val="22"/>
          <w:szCs w:val="22"/>
          <w:lang w:val="es-SV"/>
        </w:rPr>
        <w:t>, administrada o en poder de las instituciones públicas, lo cual no implica la generación de la misma a petición de parte, como sí lo es en el derecho de petición y respuesta.</w:t>
      </w:r>
    </w:p>
    <w:p w:rsidR="0068617A" w:rsidRDefault="0068617A" w:rsidP="0068617A">
      <w:pPr>
        <w:pStyle w:val="Prrafodelista"/>
        <w:spacing w:line="360" w:lineRule="auto"/>
        <w:ind w:left="1080"/>
        <w:jc w:val="both"/>
        <w:rPr>
          <w:rFonts w:ascii="Museo Sans 300" w:hAnsi="Museo Sans 300"/>
          <w:sz w:val="22"/>
          <w:szCs w:val="22"/>
          <w:lang w:val="es-SV"/>
        </w:rPr>
      </w:pPr>
    </w:p>
    <w:p w:rsidR="0068617A" w:rsidRDefault="0068617A" w:rsidP="0068617A">
      <w:pPr>
        <w:pStyle w:val="Prrafodelista"/>
        <w:spacing w:line="360" w:lineRule="auto"/>
        <w:ind w:left="1080"/>
        <w:jc w:val="both"/>
        <w:rPr>
          <w:rFonts w:ascii="Museo Sans 300" w:hAnsi="Museo Sans 300"/>
          <w:sz w:val="22"/>
          <w:szCs w:val="22"/>
          <w:lang w:val="es-SV"/>
        </w:rPr>
      </w:pPr>
      <w:r>
        <w:rPr>
          <w:rFonts w:ascii="Museo Sans 300" w:hAnsi="Museo Sans 300"/>
          <w:sz w:val="22"/>
          <w:szCs w:val="22"/>
          <w:lang w:val="es-SV"/>
        </w:rPr>
        <w:t xml:space="preserve">Sobre ello el Instituto de Acceso a la Información Pública en Resolución de Apelación número NUE-135-A-2015, se ha pronunciado bajo las siguientes consideraciones: </w:t>
      </w:r>
    </w:p>
    <w:p w:rsidR="0068617A" w:rsidRDefault="0068617A" w:rsidP="0068617A">
      <w:pPr>
        <w:pStyle w:val="Prrafodelista"/>
        <w:spacing w:line="360" w:lineRule="auto"/>
        <w:ind w:left="1080"/>
        <w:jc w:val="both"/>
        <w:rPr>
          <w:rFonts w:ascii="Museo Sans 300" w:hAnsi="Museo Sans 300"/>
          <w:sz w:val="22"/>
          <w:szCs w:val="22"/>
          <w:lang w:val="es-SV"/>
        </w:rPr>
      </w:pPr>
    </w:p>
    <w:p w:rsidR="0068617A" w:rsidRDefault="0068617A" w:rsidP="0068617A">
      <w:pPr>
        <w:pStyle w:val="Prrafodelista"/>
        <w:spacing w:line="360" w:lineRule="auto"/>
        <w:ind w:left="1080"/>
        <w:jc w:val="both"/>
        <w:rPr>
          <w:rFonts w:ascii="Museo Sans 300" w:hAnsi="Museo Sans 300"/>
          <w:i/>
          <w:sz w:val="22"/>
          <w:szCs w:val="22"/>
          <w:lang w:val="es-SV"/>
        </w:rPr>
      </w:pPr>
      <w:r w:rsidRPr="00775DB9">
        <w:rPr>
          <w:rFonts w:ascii="Museo Sans 300" w:hAnsi="Museo Sans 300"/>
          <w:i/>
          <w:sz w:val="22"/>
          <w:szCs w:val="22"/>
          <w:lang w:val="es-SV"/>
        </w:rPr>
        <w:t>El derecho</w:t>
      </w:r>
      <w:r>
        <w:rPr>
          <w:rFonts w:ascii="Museo Sans 300" w:hAnsi="Museo Sans 300"/>
          <w:i/>
          <w:sz w:val="22"/>
          <w:szCs w:val="22"/>
          <w:lang w:val="es-SV"/>
        </w:rPr>
        <w:t xml:space="preserve"> de petición y respuesta se encuentra contemplado en el Art. 18 de la Constitución de la República, de conformidad con el cual, toda persona tiene derecho a dirigir sus peticiones por escrito, de manera decorosa, a las autoridades legalmente establecidas, a que se le resuelvan y a que se le haga saber lo resuelto …En consecuencia, </w:t>
      </w:r>
      <w:r w:rsidRPr="00775DB9">
        <w:rPr>
          <w:rFonts w:ascii="Museo Sans 300" w:hAnsi="Museo Sans 300"/>
          <w:b/>
          <w:i/>
          <w:sz w:val="22"/>
          <w:szCs w:val="22"/>
          <w:lang w:val="es-SV"/>
        </w:rPr>
        <w:t>por medio del derecho de petición se pueden exigir explicaciones sobre el quehacer de la administración pública, ejercer derechos, interponer quejas, etc., es decir que su finalidad no es propiamente la de resolver sobre el suministro de información pública tangible y con soporte documental-como lo hace el DAIP</w:t>
      </w:r>
      <w:r w:rsidRPr="00775DB9">
        <w:rPr>
          <w:rStyle w:val="Refdenotaalpie"/>
          <w:rFonts w:ascii="Museo Sans 300" w:hAnsi="Museo Sans 300"/>
          <w:b/>
          <w:i/>
          <w:sz w:val="22"/>
          <w:szCs w:val="22"/>
          <w:lang w:val="es-SV"/>
        </w:rPr>
        <w:footnoteReference w:id="1"/>
      </w:r>
      <w:r w:rsidRPr="00775DB9">
        <w:rPr>
          <w:rFonts w:ascii="Museo Sans 300" w:hAnsi="Museo Sans 300"/>
          <w:b/>
          <w:i/>
          <w:sz w:val="22"/>
          <w:szCs w:val="22"/>
          <w:lang w:val="es-SV"/>
        </w:rPr>
        <w:t>- sino que su exigencia es responder por escrito, es decir, generar una respuesta razonada y legal</w:t>
      </w:r>
      <w:r>
        <w:rPr>
          <w:rFonts w:ascii="Museo Sans 300" w:hAnsi="Museo Sans 300"/>
          <w:i/>
          <w:sz w:val="22"/>
          <w:szCs w:val="22"/>
          <w:lang w:val="es-SV"/>
        </w:rPr>
        <w:t xml:space="preserve"> a los planteamientos de quien ejerce su derecho. </w:t>
      </w:r>
      <w:r w:rsidRPr="00775DB9">
        <w:rPr>
          <w:rFonts w:ascii="Museo Sans 300" w:hAnsi="Museo Sans 300"/>
          <w:i/>
          <w:sz w:val="22"/>
          <w:szCs w:val="22"/>
          <w:lang w:val="es-SV"/>
        </w:rPr>
        <w:t xml:space="preserve"> </w:t>
      </w:r>
    </w:p>
    <w:p w:rsidR="0068617A" w:rsidRDefault="0068617A" w:rsidP="0068617A">
      <w:pPr>
        <w:pStyle w:val="Prrafodelista"/>
        <w:spacing w:line="360" w:lineRule="auto"/>
        <w:ind w:left="1080"/>
        <w:jc w:val="both"/>
        <w:rPr>
          <w:rFonts w:ascii="Museo Sans 300" w:hAnsi="Museo Sans 300"/>
          <w:i/>
          <w:sz w:val="22"/>
          <w:szCs w:val="22"/>
          <w:lang w:val="es-SV"/>
        </w:rPr>
      </w:pPr>
    </w:p>
    <w:p w:rsidR="0068617A" w:rsidRPr="007F3878" w:rsidRDefault="0068617A" w:rsidP="0068617A">
      <w:pPr>
        <w:pStyle w:val="Prrafodelista"/>
        <w:numPr>
          <w:ilvl w:val="0"/>
          <w:numId w:val="1"/>
        </w:numPr>
        <w:spacing w:line="360" w:lineRule="auto"/>
        <w:jc w:val="both"/>
        <w:rPr>
          <w:rFonts w:ascii="Museo Sans 300" w:hAnsi="Museo Sans 300"/>
          <w:sz w:val="22"/>
          <w:szCs w:val="22"/>
          <w:lang w:val="es-SV"/>
        </w:rPr>
      </w:pPr>
      <w:r>
        <w:rPr>
          <w:rFonts w:ascii="Museo Sans 300" w:hAnsi="Museo Sans 300"/>
          <w:sz w:val="22"/>
          <w:szCs w:val="22"/>
          <w:lang w:val="es-SV"/>
        </w:rPr>
        <w:lastRenderedPageBreak/>
        <w:t>Que en razón a que la petición señalada, no cumple con los requisitos para su admisibilidad, corresponde hacer las prevenciones a la misma; sin embargo, la suscrita ha advertido que el fondo de dicha petición no es materia de Acceso a la Información Pública, de manera que cumplir con los demás requisitos, no viabilizaría el procedimiento de acceso a la información pública; es por ello que a fin de no dilatar los trámites administrativos consecuentes para la peticionaria, se resuelve como a continuación se detalla.</w:t>
      </w:r>
      <w:r w:rsidRPr="007F3878">
        <w:rPr>
          <w:rFonts w:ascii="Museo Sans 300" w:hAnsi="Museo Sans 300"/>
          <w:sz w:val="22"/>
          <w:szCs w:val="22"/>
          <w:lang w:val="es-SV"/>
        </w:rPr>
        <w:t xml:space="preserve"> </w:t>
      </w:r>
    </w:p>
    <w:p w:rsidR="0068617A" w:rsidRPr="00594527" w:rsidRDefault="0068617A" w:rsidP="0068617A">
      <w:pPr>
        <w:spacing w:line="360" w:lineRule="auto"/>
        <w:jc w:val="both"/>
        <w:rPr>
          <w:rFonts w:ascii="Museo Sans 300" w:hAnsi="Museo Sans 300"/>
          <w:i/>
          <w:sz w:val="22"/>
          <w:szCs w:val="22"/>
          <w:lang w:val="es-SV"/>
        </w:rPr>
      </w:pPr>
    </w:p>
    <w:p w:rsidR="0068617A" w:rsidRPr="00BC2F96" w:rsidRDefault="0068617A" w:rsidP="0068617A">
      <w:pPr>
        <w:spacing w:line="360" w:lineRule="auto"/>
        <w:contextualSpacing/>
        <w:jc w:val="both"/>
        <w:rPr>
          <w:rFonts w:ascii="Museo Sans 300" w:hAnsi="Museo Sans 300"/>
          <w:b/>
          <w:sz w:val="22"/>
          <w:szCs w:val="22"/>
        </w:rPr>
      </w:pPr>
      <w:r w:rsidRPr="00957072">
        <w:rPr>
          <w:rFonts w:ascii="Museo Sans 300" w:hAnsi="Museo Sans 300"/>
          <w:b/>
          <w:sz w:val="22"/>
          <w:szCs w:val="22"/>
          <w:lang w:val="es-SV"/>
        </w:rPr>
        <w:t>POR TANTO:</w:t>
      </w:r>
      <w:r>
        <w:rPr>
          <w:rFonts w:ascii="Museo Sans 300" w:hAnsi="Museo Sans 300"/>
          <w:sz w:val="22"/>
          <w:szCs w:val="22"/>
          <w:lang w:val="es-SV"/>
        </w:rPr>
        <w:t xml:space="preserve"> Con base en las disposiciones legales citadas y los argumentos expuestos, SE RESUELVE: </w:t>
      </w:r>
      <w:r w:rsidRPr="00702961">
        <w:rPr>
          <w:rFonts w:ascii="Museo Sans 300" w:hAnsi="Museo Sans 300"/>
          <w:b/>
          <w:sz w:val="22"/>
          <w:szCs w:val="22"/>
          <w:lang w:val="es-SV"/>
        </w:rPr>
        <w:t>A)</w:t>
      </w:r>
      <w:r>
        <w:rPr>
          <w:rFonts w:ascii="Museo Sans 300" w:hAnsi="Museo Sans 300"/>
          <w:sz w:val="22"/>
          <w:szCs w:val="22"/>
          <w:lang w:val="es-SV"/>
        </w:rPr>
        <w:t xml:space="preserve"> Declárese la Incompetencia de esta Unidad para atender y dar respuesta al informe solicitado por la peticionaria, conforme a  lo antes señalado, debido a que la petición no constituye una solicitud de información de acuerdo a la Ley de Acceso a la Información Pública, sino que se trata del derecho de petición y respuesta que puede ser ejercido por el solicitante presentando su petición ya sea personalmente o por medio de apoderado, ante el Departamento de Asistencia Ciudadana de este Instituto, situado en la Oficina Central del ISTA, Kilómetro 5 ½ Carretera hacia Santa Tecla, Calle y Colonia Las Mercedes, San Salvador. </w:t>
      </w:r>
      <w:r w:rsidRPr="00702961">
        <w:rPr>
          <w:rFonts w:ascii="Museo Sans 300" w:hAnsi="Museo Sans 300"/>
          <w:b/>
          <w:sz w:val="22"/>
          <w:szCs w:val="22"/>
          <w:lang w:val="es-SV"/>
        </w:rPr>
        <w:t>B)</w:t>
      </w:r>
      <w:r>
        <w:rPr>
          <w:rFonts w:ascii="Museo Sans 300" w:hAnsi="Museo Sans 300"/>
          <w:b/>
          <w:sz w:val="22"/>
          <w:szCs w:val="22"/>
          <w:lang w:val="es-SV"/>
        </w:rPr>
        <w:t xml:space="preserve"> </w:t>
      </w:r>
      <w:r>
        <w:rPr>
          <w:rFonts w:ascii="Museo Sans 300" w:hAnsi="Museo Sans 300"/>
          <w:sz w:val="22"/>
          <w:szCs w:val="22"/>
          <w:lang w:val="es-SV"/>
        </w:rPr>
        <w:t xml:space="preserve">Hágase saber al interesado que le </w:t>
      </w:r>
      <w:r w:rsidRPr="00BC2F96">
        <w:rPr>
          <w:rFonts w:ascii="Museo Sans 300" w:hAnsi="Museo Sans 300"/>
          <w:sz w:val="22"/>
          <w:szCs w:val="22"/>
        </w:rPr>
        <w:t>queda expedito el Recurso de Apelación en la forma y plazo que establece la Ley de Acceso a la Información Pública. Notifíquese.</w:t>
      </w:r>
    </w:p>
    <w:p w:rsidR="0068617A" w:rsidRPr="00241344" w:rsidRDefault="0068617A" w:rsidP="0068617A">
      <w:pPr>
        <w:spacing w:line="360" w:lineRule="auto"/>
        <w:contextualSpacing/>
        <w:jc w:val="both"/>
        <w:rPr>
          <w:rFonts w:ascii="Museo Sans 300" w:hAnsi="Museo Sans 300"/>
          <w:sz w:val="22"/>
          <w:szCs w:val="22"/>
          <w:lang w:val="es-SV"/>
        </w:rPr>
      </w:pPr>
      <w:r>
        <w:rPr>
          <w:rFonts w:ascii="Museo Sans 300" w:hAnsi="Museo Sans 300"/>
          <w:sz w:val="22"/>
          <w:szCs w:val="22"/>
          <w:lang w:val="es-SV"/>
        </w:rPr>
        <w:t xml:space="preserve">    </w:t>
      </w:r>
    </w:p>
    <w:p w:rsidR="0068617A" w:rsidRDefault="0068617A" w:rsidP="0068617A">
      <w:pPr>
        <w:contextualSpacing/>
        <w:rPr>
          <w:rFonts w:ascii="Book Antiqua" w:hAnsi="Book Antiqua"/>
        </w:rPr>
      </w:pPr>
    </w:p>
    <w:p w:rsidR="0068617A" w:rsidRDefault="0068617A" w:rsidP="0068617A">
      <w:pPr>
        <w:contextualSpacing/>
        <w:jc w:val="both"/>
        <w:rPr>
          <w:rFonts w:ascii="Book Antiqua" w:hAnsi="Book Antiqua"/>
        </w:rPr>
      </w:pPr>
    </w:p>
    <w:p w:rsidR="0068617A" w:rsidRDefault="0068617A" w:rsidP="0068617A">
      <w:pPr>
        <w:contextualSpacing/>
        <w:jc w:val="both"/>
        <w:rPr>
          <w:rFonts w:ascii="Book Antiqua" w:hAnsi="Book Antiqua"/>
        </w:rPr>
      </w:pPr>
    </w:p>
    <w:p w:rsidR="0068617A" w:rsidRDefault="0068617A" w:rsidP="0068617A">
      <w:pPr>
        <w:contextualSpacing/>
        <w:jc w:val="center"/>
        <w:rPr>
          <w:rFonts w:ascii="Bembo Std" w:hAnsi="Bembo Std"/>
          <w:b/>
        </w:rPr>
      </w:pPr>
      <w:r>
        <w:rPr>
          <w:rFonts w:ascii="Bembo Std" w:hAnsi="Bembo Std"/>
          <w:b/>
        </w:rPr>
        <w:t>SONIA ELIZABETH GARCIA GRANDE</w:t>
      </w:r>
    </w:p>
    <w:p w:rsidR="0068617A" w:rsidRPr="00BC2F96" w:rsidRDefault="0068617A" w:rsidP="0068617A">
      <w:pPr>
        <w:contextualSpacing/>
        <w:jc w:val="center"/>
        <w:rPr>
          <w:rFonts w:ascii="Bembo Std" w:hAnsi="Bembo Std"/>
          <w:b/>
        </w:rPr>
      </w:pPr>
      <w:r>
        <w:rPr>
          <w:rFonts w:ascii="Bembo Std" w:hAnsi="Bembo Std"/>
          <w:b/>
        </w:rPr>
        <w:t>OFICIAL DE INFORMACIÓN INTERINA</w:t>
      </w:r>
    </w:p>
    <w:p w:rsidR="0058714D" w:rsidRDefault="005B6B85"/>
    <w:sectPr w:rsidR="0058714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B85" w:rsidRDefault="005B6B85" w:rsidP="0068617A">
      <w:r>
        <w:separator/>
      </w:r>
    </w:p>
  </w:endnote>
  <w:endnote w:type="continuationSeparator" w:id="0">
    <w:p w:rsidR="005B6B85" w:rsidRDefault="005B6B85" w:rsidP="0068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Bembo Std">
    <w:panose1 w:val="02020605060306020A03"/>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17A" w:rsidRDefault="0068617A">
    <w:pPr>
      <w:pStyle w:val="Piedepgina"/>
    </w:pPr>
    <w:r>
      <w:rPr>
        <w:noProof/>
        <w:lang w:eastAsia="es-SV"/>
      </w:rPr>
      <w:drawing>
        <wp:anchor distT="0" distB="0" distL="114300" distR="114300" simplePos="0" relativeHeight="251661312" behindDoc="0" locked="0" layoutInCell="1" allowOverlap="1" wp14:anchorId="5A1B5107" wp14:editId="65005C5F">
          <wp:simplePos x="0" y="0"/>
          <wp:positionH relativeFrom="page">
            <wp:posOffset>1085850</wp:posOffset>
          </wp:positionH>
          <wp:positionV relativeFrom="paragraph">
            <wp:posOffset>273050</wp:posOffset>
          </wp:positionV>
          <wp:extent cx="5612130" cy="779145"/>
          <wp:effectExtent l="0" t="0" r="7620" b="1905"/>
          <wp:wrapThrough wrapText="bothSides">
            <wp:wrapPolygon edited="0">
              <wp:start x="0" y="0"/>
              <wp:lineTo x="0" y="21125"/>
              <wp:lineTo x="21556" y="21125"/>
              <wp:lineTo x="21556"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E HOJA MEMBRETADA NUEV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7791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B85" w:rsidRDefault="005B6B85" w:rsidP="0068617A">
      <w:r>
        <w:separator/>
      </w:r>
    </w:p>
  </w:footnote>
  <w:footnote w:type="continuationSeparator" w:id="0">
    <w:p w:rsidR="005B6B85" w:rsidRDefault="005B6B85" w:rsidP="0068617A">
      <w:r>
        <w:continuationSeparator/>
      </w:r>
    </w:p>
  </w:footnote>
  <w:footnote w:id="1">
    <w:p w:rsidR="0068617A" w:rsidRPr="00775DB9" w:rsidRDefault="0068617A" w:rsidP="0068617A">
      <w:pPr>
        <w:pStyle w:val="Textonotapie"/>
        <w:rPr>
          <w:lang w:val="es-SV"/>
        </w:rPr>
      </w:pPr>
      <w:r>
        <w:rPr>
          <w:rStyle w:val="Refdenotaalpie"/>
        </w:rPr>
        <w:footnoteRef/>
      </w:r>
      <w:r>
        <w:t xml:space="preserve"> (</w:t>
      </w:r>
      <w:r>
        <w:rPr>
          <w:lang w:val="es-SV"/>
        </w:rPr>
        <w:t>DAIP) Derecho de Acceso a la Información 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17A" w:rsidRDefault="0068617A" w:rsidP="00B21EE2">
    <w:pPr>
      <w:pStyle w:val="Encabezado"/>
      <w:jc w:val="center"/>
    </w:pPr>
    <w:r>
      <w:rPr>
        <w:noProof/>
        <w:sz w:val="24"/>
        <w:szCs w:val="24"/>
        <w:lang w:eastAsia="es-SV"/>
      </w:rPr>
      <mc:AlternateContent>
        <mc:Choice Requires="wps">
          <w:drawing>
            <wp:anchor distT="45720" distB="45720" distL="114300" distR="114300" simplePos="0" relativeHeight="251663360" behindDoc="0" locked="0" layoutInCell="1" allowOverlap="1">
              <wp:simplePos x="0" y="0"/>
              <wp:positionH relativeFrom="margin">
                <wp:posOffset>3562985</wp:posOffset>
              </wp:positionH>
              <wp:positionV relativeFrom="paragraph">
                <wp:posOffset>216535</wp:posOffset>
              </wp:positionV>
              <wp:extent cx="2599690" cy="699135"/>
              <wp:effectExtent l="0" t="0" r="10160" b="2476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699135"/>
                      </a:xfrm>
                      <a:prstGeom prst="rect">
                        <a:avLst/>
                      </a:prstGeom>
                      <a:solidFill>
                        <a:srgbClr val="FFFFFF"/>
                      </a:solidFill>
                      <a:ln w="9525">
                        <a:solidFill>
                          <a:srgbClr val="000000"/>
                        </a:solidFill>
                        <a:miter lim="800000"/>
                        <a:headEnd/>
                        <a:tailEnd/>
                      </a:ln>
                    </wps:spPr>
                    <wps:txbx>
                      <w:txbxContent>
                        <w:p w:rsidR="0068617A" w:rsidRDefault="0068617A" w:rsidP="0068617A">
                          <w:r>
                            <w:rPr>
                              <w:rFonts w:ascii="Calibri Light" w:eastAsiaTheme="minorHAnsi" w:hAnsi="Calibri Light" w:cs="Calibri Light"/>
                              <w:sz w:val="19"/>
                              <w:szCs w:val="19"/>
                              <w:lang w:val="es-ES" w:eastAsia="en-US"/>
                            </w:rPr>
                            <w:t>Versión pública de conformidad al Art. 30 de la Ley de Acceso a la Información Pública, han sido suprimidos los Datos Personales que contiene el documento original.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80.55pt;margin-top:17.05pt;width:204.7pt;height:55.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">
              <v:textbox>
                <w:txbxContent>
                  <w:p w:rsidR="0068617A" w:rsidRDefault="0068617A" w:rsidP="0068617A">
                    <w:r>
                      <w:rPr>
                        <w:rFonts w:ascii="Calibri Light" w:eastAsiaTheme="minorHAnsi" w:hAnsi="Calibri Light" w:cs="Calibri Light"/>
                        <w:sz w:val="19"/>
                        <w:szCs w:val="19"/>
                        <w:lang w:val="es-ES" w:eastAsia="en-US"/>
                      </w:rPr>
                      <w:t>Versión pública de conformidad al Art. 30 de la Ley de Acceso a la Información Pública, han sido suprimidos los Datos Personales que contiene el documento original.</w:t>
                    </w:r>
                  </w:p>
                </w:txbxContent>
              </v:textbox>
              <w10:wrap type="square" anchorx="margin"/>
            </v:shape>
          </w:pict>
        </mc:Fallback>
      </mc:AlternateContent>
    </w:r>
    <w:r>
      <w:rPr>
        <w:noProof/>
        <w:lang w:eastAsia="es-SV"/>
      </w:rPr>
      <w:drawing>
        <wp:anchor distT="0" distB="0" distL="114300" distR="114300" simplePos="0" relativeHeight="251660288" behindDoc="0" locked="0" layoutInCell="1" allowOverlap="1" wp14:anchorId="3C7BDD67" wp14:editId="76E97E53">
          <wp:simplePos x="0" y="0"/>
          <wp:positionH relativeFrom="page">
            <wp:align>center</wp:align>
          </wp:positionH>
          <wp:positionV relativeFrom="paragraph">
            <wp:posOffset>-162560</wp:posOffset>
          </wp:positionV>
          <wp:extent cx="1342800" cy="1152000"/>
          <wp:effectExtent l="0" t="0" r="0" b="0"/>
          <wp:wrapThrough wrapText="bothSides">
            <wp:wrapPolygon edited="0">
              <wp:start x="0" y="0"/>
              <wp:lineTo x="0" y="21076"/>
              <wp:lineTo x="21150" y="21076"/>
              <wp:lineTo x="21150"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PUESTA D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2800" cy="1152000"/>
                  </a:xfrm>
                  <a:prstGeom prst="rect">
                    <a:avLst/>
                  </a:prstGeom>
                </pic:spPr>
              </pic:pic>
            </a:graphicData>
          </a:graphic>
          <wp14:sizeRelH relativeFrom="page">
            <wp14:pctWidth>0</wp14:pctWidth>
          </wp14:sizeRelH>
          <wp14:sizeRelV relativeFrom="page">
            <wp14:pctHeight>0</wp14:pctHeight>
          </wp14:sizeRelV>
        </wp:anchor>
      </w:drawing>
    </w:r>
    <w:r w:rsidRPr="00E21120">
      <w:rPr>
        <w:noProof/>
        <w:lang w:eastAsia="es-SV"/>
      </w:rPr>
      <w:drawing>
        <wp:anchor distT="0" distB="0" distL="114300" distR="114300" simplePos="0" relativeHeight="251659264" behindDoc="1" locked="0" layoutInCell="1" allowOverlap="1" wp14:anchorId="76A0220C" wp14:editId="784715C6">
          <wp:simplePos x="0" y="0"/>
          <wp:positionH relativeFrom="margin">
            <wp:posOffset>3369945</wp:posOffset>
          </wp:positionH>
          <wp:positionV relativeFrom="paragraph">
            <wp:posOffset>1232602</wp:posOffset>
          </wp:positionV>
          <wp:extent cx="6591742" cy="66964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duotone>
                      <a:schemeClr val="bg2">
                        <a:shade val="45000"/>
                        <a:satMod val="135000"/>
                      </a:schemeClr>
                      <a:prstClr val="white"/>
                    </a:duotone>
                    <a:lum contrast="40000"/>
                    <a:extLst>
                      <a:ext uri="{28A0092B-C50C-407E-A947-70E740481C1C}">
                        <a14:useLocalDpi xmlns:a14="http://schemas.microsoft.com/office/drawing/2010/main" val="0"/>
                      </a:ext>
                    </a:extLst>
                  </a:blip>
                  <a:srcRect/>
                  <a:stretch>
                    <a:fillRect/>
                  </a:stretch>
                </pic:blipFill>
                <pic:spPr bwMode="auto">
                  <a:xfrm>
                    <a:off x="0" y="0"/>
                    <a:ext cx="6591742" cy="669648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F73A02"/>
    <w:multiLevelType w:val="hybridMultilevel"/>
    <w:tmpl w:val="E6F4A3EC"/>
    <w:lvl w:ilvl="0" w:tplc="DBFCF93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7A"/>
    <w:rsid w:val="00433998"/>
    <w:rsid w:val="005B6B85"/>
    <w:rsid w:val="0068617A"/>
    <w:rsid w:val="00A75880"/>
    <w:rsid w:val="00B63041"/>
    <w:rsid w:val="00E0498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97D602-28D1-4281-AE70-755AAF87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7A"/>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617A"/>
    <w:pPr>
      <w:tabs>
        <w:tab w:val="center" w:pos="4419"/>
        <w:tab w:val="right" w:pos="8838"/>
      </w:tabs>
    </w:pPr>
    <w:rPr>
      <w:rFonts w:asciiTheme="minorHAnsi" w:eastAsiaTheme="minorHAnsi" w:hAnsiTheme="minorHAnsi" w:cstheme="minorBidi"/>
      <w:sz w:val="22"/>
      <w:szCs w:val="22"/>
      <w:lang w:val="es-SV" w:eastAsia="en-US"/>
    </w:rPr>
  </w:style>
  <w:style w:type="character" w:customStyle="1" w:styleId="EncabezadoCar">
    <w:name w:val="Encabezado Car"/>
    <w:basedOn w:val="Fuentedeprrafopredeter"/>
    <w:link w:val="Encabezado"/>
    <w:uiPriority w:val="99"/>
    <w:rsid w:val="0068617A"/>
  </w:style>
  <w:style w:type="paragraph" w:styleId="Piedepgina">
    <w:name w:val="footer"/>
    <w:basedOn w:val="Normal"/>
    <w:link w:val="PiedepginaCar"/>
    <w:uiPriority w:val="99"/>
    <w:unhideWhenUsed/>
    <w:rsid w:val="0068617A"/>
    <w:pPr>
      <w:tabs>
        <w:tab w:val="center" w:pos="4419"/>
        <w:tab w:val="right" w:pos="8838"/>
      </w:tabs>
    </w:pPr>
    <w:rPr>
      <w:rFonts w:asciiTheme="minorHAnsi" w:eastAsiaTheme="minorHAnsi" w:hAnsiTheme="minorHAnsi" w:cstheme="minorBidi"/>
      <w:sz w:val="22"/>
      <w:szCs w:val="22"/>
      <w:lang w:val="es-SV" w:eastAsia="en-US"/>
    </w:rPr>
  </w:style>
  <w:style w:type="character" w:customStyle="1" w:styleId="PiedepginaCar">
    <w:name w:val="Pie de página Car"/>
    <w:basedOn w:val="Fuentedeprrafopredeter"/>
    <w:link w:val="Piedepgina"/>
    <w:uiPriority w:val="99"/>
    <w:rsid w:val="0068617A"/>
  </w:style>
  <w:style w:type="paragraph" w:styleId="Prrafodelista">
    <w:name w:val="List Paragraph"/>
    <w:basedOn w:val="Normal"/>
    <w:uiPriority w:val="34"/>
    <w:qFormat/>
    <w:rsid w:val="0068617A"/>
    <w:pPr>
      <w:ind w:left="720"/>
      <w:contextualSpacing/>
    </w:pPr>
  </w:style>
  <w:style w:type="character" w:styleId="Hipervnculo">
    <w:name w:val="Hyperlink"/>
    <w:basedOn w:val="Fuentedeprrafopredeter"/>
    <w:uiPriority w:val="99"/>
    <w:unhideWhenUsed/>
    <w:rsid w:val="0068617A"/>
    <w:rPr>
      <w:color w:val="0563C1" w:themeColor="hyperlink"/>
      <w:u w:val="single"/>
    </w:rPr>
  </w:style>
  <w:style w:type="paragraph" w:styleId="Textonotapie">
    <w:name w:val="footnote text"/>
    <w:basedOn w:val="Normal"/>
    <w:link w:val="TextonotapieCar"/>
    <w:uiPriority w:val="99"/>
    <w:semiHidden/>
    <w:unhideWhenUsed/>
    <w:rsid w:val="0068617A"/>
    <w:rPr>
      <w:sz w:val="20"/>
      <w:szCs w:val="20"/>
    </w:rPr>
  </w:style>
  <w:style w:type="character" w:customStyle="1" w:styleId="TextonotapieCar">
    <w:name w:val="Texto nota pie Car"/>
    <w:basedOn w:val="Fuentedeprrafopredeter"/>
    <w:link w:val="Textonotapie"/>
    <w:uiPriority w:val="99"/>
    <w:semiHidden/>
    <w:rsid w:val="0068617A"/>
    <w:rPr>
      <w:rFonts w:ascii="Times New Roman" w:eastAsia="Times New Roman" w:hAnsi="Times New Roman" w:cs="Times New Roman"/>
      <w:sz w:val="20"/>
      <w:szCs w:val="20"/>
      <w:lang w:val="es-MX" w:eastAsia="es-MX"/>
    </w:rPr>
  </w:style>
  <w:style w:type="character" w:styleId="Refdenotaalpie">
    <w:name w:val="footnote reference"/>
    <w:basedOn w:val="Fuentedeprrafopredeter"/>
    <w:uiPriority w:val="99"/>
    <w:semiHidden/>
    <w:unhideWhenUsed/>
    <w:rsid w:val="00686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ury187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1093</Words>
  <Characters>6015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Elizabeth Garcia Grande</dc:creator>
  <cp:keywords/>
  <dc:description/>
  <cp:lastModifiedBy>Sonia Elizabeth Garcia Grande</cp:lastModifiedBy>
  <cp:revision>2</cp:revision>
  <dcterms:created xsi:type="dcterms:W3CDTF">2021-01-29T17:09:00Z</dcterms:created>
  <dcterms:modified xsi:type="dcterms:W3CDTF">2021-01-29T20:56:00Z</dcterms:modified>
</cp:coreProperties>
</file>