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B08" w:rsidRDefault="00454B08" w:rsidP="00454B08">
      <w:pPr>
        <w:pStyle w:val="Ttulo"/>
        <w:tabs>
          <w:tab w:val="left" w:pos="4860"/>
        </w:tabs>
        <w:spacing w:line="235" w:lineRule="auto"/>
        <w:ind w:right="-46"/>
        <w:rPr>
          <w:rFonts w:cs="Arial"/>
        </w:rPr>
      </w:pPr>
      <w:r>
        <w:rPr>
          <w:rFonts w:cs="Arial"/>
        </w:rPr>
        <w:t>MINISTERIO DE AGRICULTURA Y GANADERIA</w:t>
      </w:r>
    </w:p>
    <w:p w:rsidR="00454B08" w:rsidRDefault="00454B08" w:rsidP="00454B08">
      <w:pPr>
        <w:pStyle w:val="Subttulo"/>
        <w:spacing w:line="235" w:lineRule="auto"/>
        <w:rPr>
          <w:rFonts w:cs="Arial"/>
        </w:rPr>
      </w:pPr>
      <w:r>
        <w:rPr>
          <w:rFonts w:cs="Arial"/>
        </w:rPr>
        <w:t>OFICINA DE POLITICAS Y PLANIFICACION SECTORIAL</w:t>
      </w:r>
    </w:p>
    <w:p w:rsidR="00454B08" w:rsidRPr="00C42E99" w:rsidRDefault="00454B08" w:rsidP="00C42E99">
      <w:pPr>
        <w:pStyle w:val="Sinespaciado"/>
        <w:jc w:val="center"/>
        <w:rPr>
          <w:rFonts w:ascii="Arial" w:hAnsi="Arial" w:cs="Arial"/>
          <w:b/>
        </w:rPr>
      </w:pPr>
      <w:r w:rsidRPr="00C42E99">
        <w:rPr>
          <w:rFonts w:ascii="Arial" w:hAnsi="Arial" w:cs="Arial"/>
          <w:b/>
        </w:rPr>
        <w:t>DIVISION DE SEGUIMIENTO Y EVALUACION</w:t>
      </w:r>
    </w:p>
    <w:p w:rsidR="00454B08" w:rsidRDefault="00454B08" w:rsidP="00454B08">
      <w:pPr>
        <w:spacing w:line="235" w:lineRule="auto"/>
      </w:pPr>
    </w:p>
    <w:p w:rsidR="00454B08" w:rsidRDefault="00454B08" w:rsidP="00454B08">
      <w:pPr>
        <w:pStyle w:val="Ttulo1"/>
        <w:spacing w:line="235" w:lineRule="auto"/>
      </w:pPr>
      <w:r>
        <w:t>INFORME DE SEGUIMIENTO DEL AVANCE FISICO DEL POA 2019</w:t>
      </w:r>
    </w:p>
    <w:p w:rsidR="00454B08" w:rsidRDefault="00454B08" w:rsidP="00454B08">
      <w:pPr>
        <w:tabs>
          <w:tab w:val="left" w:pos="1440"/>
          <w:tab w:val="left" w:pos="1980"/>
        </w:tabs>
        <w:spacing w:before="240" w:line="235" w:lineRule="auto"/>
        <w:ind w:left="2124" w:hanging="2124"/>
        <w:jc w:val="both"/>
        <w:rPr>
          <w:rFonts w:ascii="Arial" w:hAnsi="Arial" w:cs="Arial"/>
          <w:sz w:val="22"/>
        </w:rPr>
      </w:pPr>
      <w:r>
        <w:rPr>
          <w:rFonts w:ascii="Arial" w:hAnsi="Arial" w:cs="Arial"/>
          <w:b/>
          <w:sz w:val="22"/>
          <w:szCs w:val="22"/>
        </w:rPr>
        <w:t>DEPENDENCIA</w:t>
      </w:r>
      <w:r>
        <w:rPr>
          <w:rFonts w:ascii="Arial" w:hAnsi="Arial" w:cs="Arial"/>
          <w:sz w:val="22"/>
          <w:szCs w:val="22"/>
        </w:rPr>
        <w:t>:</w:t>
      </w:r>
      <w:r>
        <w:rPr>
          <w:rFonts w:ascii="Arial" w:hAnsi="Arial" w:cs="Arial"/>
          <w:sz w:val="22"/>
          <w:szCs w:val="22"/>
        </w:rPr>
        <w:tab/>
        <w:t>Oficina Financiera Institucional</w:t>
      </w:r>
      <w:r>
        <w:rPr>
          <w:rFonts w:ascii="Arial" w:hAnsi="Arial" w:cs="Arial"/>
          <w:sz w:val="22"/>
        </w:rPr>
        <w:t xml:space="preserve"> (OFI)</w:t>
      </w:r>
    </w:p>
    <w:p w:rsidR="00454B08" w:rsidRDefault="00454B08" w:rsidP="00454B08">
      <w:pPr>
        <w:tabs>
          <w:tab w:val="left" w:pos="1440"/>
          <w:tab w:val="left" w:pos="1980"/>
        </w:tabs>
        <w:spacing w:line="235" w:lineRule="auto"/>
        <w:jc w:val="both"/>
        <w:rPr>
          <w:rFonts w:ascii="Arial" w:hAnsi="Arial" w:cs="Arial"/>
          <w:b/>
          <w:sz w:val="22"/>
          <w:szCs w:val="22"/>
        </w:rPr>
      </w:pPr>
    </w:p>
    <w:p w:rsidR="00454B08" w:rsidRDefault="00454B08" w:rsidP="00454B08">
      <w:pPr>
        <w:tabs>
          <w:tab w:val="left" w:pos="1440"/>
          <w:tab w:val="left" w:pos="1980"/>
        </w:tabs>
        <w:spacing w:line="235" w:lineRule="auto"/>
        <w:jc w:val="both"/>
        <w:rPr>
          <w:rFonts w:ascii="Arial" w:hAnsi="Arial" w:cs="Arial"/>
          <w:sz w:val="22"/>
          <w:szCs w:val="22"/>
        </w:rPr>
      </w:pPr>
      <w:r>
        <w:rPr>
          <w:rFonts w:ascii="Arial" w:hAnsi="Arial" w:cs="Arial"/>
          <w:b/>
          <w:sz w:val="22"/>
          <w:szCs w:val="22"/>
        </w:rPr>
        <w:t>TRIMESTRE:</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t>Abril-junio</w:t>
      </w:r>
    </w:p>
    <w:p w:rsidR="00454B08" w:rsidRDefault="00454B08" w:rsidP="00454B08">
      <w:pPr>
        <w:rPr>
          <w:rFonts w:ascii="Arial" w:hAnsi="Arial" w:cs="Arial"/>
          <w:b/>
          <w:sz w:val="22"/>
          <w:szCs w:val="22"/>
        </w:rPr>
      </w:pPr>
    </w:p>
    <w:p w:rsidR="00454B08" w:rsidRPr="00D977B9" w:rsidRDefault="00454B08" w:rsidP="00454B08">
      <w:pPr>
        <w:rPr>
          <w:rFonts w:ascii="Arial" w:hAnsi="Arial" w:cs="Arial"/>
          <w:b/>
          <w:sz w:val="22"/>
          <w:szCs w:val="22"/>
        </w:rPr>
      </w:pPr>
      <w:r w:rsidRPr="00D977B9">
        <w:rPr>
          <w:rFonts w:ascii="Arial" w:hAnsi="Arial" w:cs="Arial"/>
          <w:b/>
          <w:sz w:val="22"/>
          <w:szCs w:val="22"/>
        </w:rPr>
        <w:t>PERIODO:</w:t>
      </w:r>
      <w:r>
        <w:rPr>
          <w:rFonts w:ascii="Arial" w:hAnsi="Arial" w:cs="Arial"/>
          <w:b/>
          <w:sz w:val="22"/>
          <w:szCs w:val="22"/>
        </w:rPr>
        <w:tab/>
        <w:t xml:space="preserve">         </w:t>
      </w:r>
      <w:r w:rsidRPr="00D977B9">
        <w:rPr>
          <w:rFonts w:ascii="Arial" w:hAnsi="Arial" w:cs="Arial"/>
          <w:sz w:val="22"/>
          <w:szCs w:val="22"/>
        </w:rPr>
        <w:t>Enero-junio</w:t>
      </w:r>
      <w:r w:rsidRPr="00D977B9">
        <w:rPr>
          <w:rFonts w:ascii="Arial" w:hAnsi="Arial" w:cs="Arial"/>
          <w:sz w:val="22"/>
          <w:szCs w:val="22"/>
        </w:rPr>
        <w:tab/>
      </w:r>
    </w:p>
    <w:p w:rsidR="00454B08" w:rsidRDefault="00454B08" w:rsidP="00454B08">
      <w:pPr>
        <w:spacing w:line="312" w:lineRule="auto"/>
        <w:jc w:val="both"/>
        <w:rPr>
          <w:rFonts w:ascii="Arial" w:hAnsi="Arial" w:cs="Arial"/>
          <w:b/>
          <w:bCs/>
          <w:sz w:val="22"/>
        </w:rPr>
      </w:pPr>
    </w:p>
    <w:p w:rsidR="00454B08" w:rsidRPr="00F20A0D" w:rsidRDefault="00454B08" w:rsidP="00454B08">
      <w:pPr>
        <w:pStyle w:val="Sangra3detindependiente"/>
      </w:pPr>
      <w:r w:rsidRPr="00F20A0D">
        <w:t xml:space="preserve">I. </w:t>
      </w:r>
      <w:r w:rsidRPr="00F20A0D">
        <w:tab/>
        <w:t xml:space="preserve">AVANCE FISICO ALCANZADO EN EL TRIMESTRE </w:t>
      </w:r>
      <w:r>
        <w:t xml:space="preserve">ABRIL-JUNIO </w:t>
      </w:r>
      <w:r w:rsidRPr="00F20A0D">
        <w:t>DE 201</w:t>
      </w:r>
      <w:r>
        <w:t>9</w:t>
      </w:r>
    </w:p>
    <w:p w:rsidR="00454B08" w:rsidRPr="009D2F7B" w:rsidRDefault="00454B08" w:rsidP="00454B08">
      <w:pPr>
        <w:jc w:val="both"/>
        <w:rPr>
          <w:rFonts w:ascii="Arial" w:hAnsi="Arial" w:cs="Arial"/>
          <w:bCs/>
          <w:color w:val="548DD4"/>
          <w:sz w:val="22"/>
        </w:rPr>
      </w:pPr>
    </w:p>
    <w:p w:rsidR="00454B08" w:rsidRPr="00565131" w:rsidRDefault="00454B08" w:rsidP="00454B08">
      <w:pPr>
        <w:pStyle w:val="Textoindependiente3"/>
        <w:rPr>
          <w:szCs w:val="24"/>
        </w:rPr>
      </w:pPr>
      <w:r>
        <w:t xml:space="preserve">En </w:t>
      </w:r>
      <w:r w:rsidRPr="002E1751">
        <w:t xml:space="preserve">el </w:t>
      </w:r>
      <w:r>
        <w:t xml:space="preserve">segundo </w:t>
      </w:r>
      <w:r w:rsidRPr="002E1751">
        <w:t>trimestre</w:t>
      </w:r>
      <w:r>
        <w:t xml:space="preserve"> del año en curso</w:t>
      </w:r>
      <w:r w:rsidRPr="002E1751">
        <w:t xml:space="preserve">, </w:t>
      </w:r>
      <w:r>
        <w:t>la OFI</w:t>
      </w:r>
      <w:r w:rsidRPr="002E1751">
        <w:t xml:space="preserve"> obt</w:t>
      </w:r>
      <w:r>
        <w:t xml:space="preserve">uvo </w:t>
      </w:r>
      <w:r w:rsidRPr="002E1751">
        <w:t xml:space="preserve">un avance físico de </w:t>
      </w:r>
      <w:r>
        <w:rPr>
          <w:b/>
        </w:rPr>
        <w:t>9</w:t>
      </w:r>
      <w:r w:rsidR="00A12842">
        <w:rPr>
          <w:b/>
        </w:rPr>
        <w:t>9.3</w:t>
      </w:r>
      <w:r w:rsidRPr="00565131">
        <w:rPr>
          <w:b/>
        </w:rPr>
        <w:t xml:space="preserve">% </w:t>
      </w:r>
      <w:r w:rsidRPr="00565131">
        <w:t>(ver gráfico 1)</w:t>
      </w:r>
      <w:r w:rsidRPr="00565131">
        <w:rPr>
          <w:b/>
        </w:rPr>
        <w:t>,</w:t>
      </w:r>
      <w:r w:rsidRPr="00565131">
        <w:t xml:space="preserve"> el cual se califica como </w:t>
      </w:r>
      <w:r w:rsidRPr="007B52C7">
        <w:rPr>
          <w:b/>
        </w:rPr>
        <w:t>Muy</w:t>
      </w:r>
      <w:r>
        <w:t xml:space="preserve"> </w:t>
      </w:r>
      <w:r w:rsidRPr="00565131">
        <w:rPr>
          <w:b/>
        </w:rPr>
        <w:t>Bueno</w:t>
      </w:r>
      <w:r>
        <w:t>.</w:t>
      </w:r>
      <w:r w:rsidRPr="00565131">
        <w:t xml:space="preserve"> </w:t>
      </w:r>
      <w:r>
        <w:t>D</w:t>
      </w:r>
      <w:r w:rsidRPr="00565131">
        <w:t>icho resultado</w:t>
      </w:r>
      <w:r w:rsidRPr="00565131">
        <w:rPr>
          <w:szCs w:val="24"/>
        </w:rPr>
        <w:t xml:space="preserve"> se produjo por el cumplimiento total de la </w:t>
      </w:r>
      <w:r w:rsidRPr="00D22279">
        <w:rPr>
          <w:szCs w:val="24"/>
        </w:rPr>
        <w:t>meta física de ocho</w:t>
      </w:r>
      <w:r w:rsidR="002A5895" w:rsidRPr="00D22279">
        <w:rPr>
          <w:szCs w:val="24"/>
        </w:rPr>
        <w:t xml:space="preserve"> Indicadores de Resultado y el </w:t>
      </w:r>
      <w:r w:rsidRPr="00D22279">
        <w:rPr>
          <w:szCs w:val="24"/>
        </w:rPr>
        <w:t>cumplimiento parcial de uno. Los restantes</w:t>
      </w:r>
      <w:r w:rsidRPr="00565131">
        <w:rPr>
          <w:szCs w:val="24"/>
        </w:rPr>
        <w:t xml:space="preserve"> </w:t>
      </w:r>
      <w:r w:rsidR="00A12842" w:rsidRPr="00A12842">
        <w:rPr>
          <w:b/>
          <w:szCs w:val="24"/>
        </w:rPr>
        <w:t>cuatro</w:t>
      </w:r>
      <w:r>
        <w:rPr>
          <w:szCs w:val="24"/>
        </w:rPr>
        <w:t xml:space="preserve"> </w:t>
      </w:r>
      <w:r w:rsidRPr="00565131">
        <w:rPr>
          <w:szCs w:val="24"/>
        </w:rPr>
        <w:t xml:space="preserve">indicadores, no consideraron meta física a cumplir en el trimestre que se informa. </w:t>
      </w:r>
    </w:p>
    <w:p w:rsidR="00454B08" w:rsidRDefault="00454B08" w:rsidP="00454B08">
      <w:pPr>
        <w:pStyle w:val="Textoindependiente3"/>
        <w:rPr>
          <w:color w:val="FF0000"/>
          <w:szCs w:val="24"/>
        </w:rPr>
      </w:pPr>
    </w:p>
    <w:p w:rsidR="00454B08" w:rsidRDefault="00454B08" w:rsidP="00454B08">
      <w:pPr>
        <w:pStyle w:val="Textoindependiente3"/>
        <w:rPr>
          <w:color w:val="FF0000"/>
          <w:szCs w:val="24"/>
        </w:rPr>
      </w:pPr>
    </w:p>
    <w:p w:rsidR="00454B08" w:rsidRDefault="00454B08" w:rsidP="00454B08">
      <w:pPr>
        <w:spacing w:line="228" w:lineRule="auto"/>
        <w:ind w:left="1410" w:hanging="1410"/>
        <w:jc w:val="both"/>
        <w:rPr>
          <w:rFonts w:ascii="Arial" w:hAnsi="Arial" w:cs="Arial"/>
          <w:sz w:val="22"/>
          <w:szCs w:val="22"/>
        </w:rPr>
      </w:pPr>
      <w:r w:rsidRPr="000B255E">
        <w:rPr>
          <w:rFonts w:ascii="Arial" w:hAnsi="Arial" w:cs="Arial"/>
          <w:b/>
          <w:bCs/>
          <w:sz w:val="22"/>
          <w:szCs w:val="22"/>
        </w:rPr>
        <w:t>Gráfico 1.</w:t>
      </w:r>
      <w:r w:rsidRPr="000B255E">
        <w:rPr>
          <w:rFonts w:ascii="Arial" w:hAnsi="Arial" w:cs="Arial"/>
          <w:sz w:val="22"/>
          <w:szCs w:val="22"/>
        </w:rPr>
        <w:tab/>
        <w:t>Avance físico en porcentaje por Resultado y total Institución</w:t>
      </w:r>
      <w:r>
        <w:rPr>
          <w:rFonts w:ascii="Arial" w:hAnsi="Arial" w:cs="Arial"/>
          <w:sz w:val="22"/>
          <w:szCs w:val="22"/>
        </w:rPr>
        <w:t>,</w:t>
      </w:r>
      <w:r w:rsidRPr="000B255E">
        <w:rPr>
          <w:rFonts w:ascii="Arial" w:hAnsi="Arial" w:cs="Arial"/>
          <w:sz w:val="22"/>
          <w:szCs w:val="22"/>
        </w:rPr>
        <w:t xml:space="preserve"> en el trimestre </w:t>
      </w:r>
      <w:r>
        <w:rPr>
          <w:rFonts w:ascii="Arial" w:hAnsi="Arial" w:cs="Arial"/>
          <w:sz w:val="22"/>
          <w:szCs w:val="22"/>
        </w:rPr>
        <w:t>abril-junio</w:t>
      </w:r>
      <w:r w:rsidRPr="000B255E">
        <w:rPr>
          <w:rFonts w:ascii="Arial" w:hAnsi="Arial" w:cs="Arial"/>
          <w:sz w:val="22"/>
          <w:szCs w:val="22"/>
        </w:rPr>
        <w:t xml:space="preserve"> de 201</w:t>
      </w:r>
      <w:r w:rsidR="003376F4">
        <w:rPr>
          <w:rFonts w:ascii="Arial" w:hAnsi="Arial" w:cs="Arial"/>
          <w:sz w:val="22"/>
          <w:szCs w:val="22"/>
        </w:rPr>
        <w:t>9</w:t>
      </w:r>
      <w:r w:rsidRPr="000B255E">
        <w:rPr>
          <w:rFonts w:ascii="Arial" w:hAnsi="Arial" w:cs="Arial"/>
          <w:sz w:val="22"/>
          <w:szCs w:val="22"/>
        </w:rPr>
        <w:t>.</w:t>
      </w:r>
    </w:p>
    <w:p w:rsidR="00454B08" w:rsidRDefault="00454B08" w:rsidP="00454B08">
      <w:pPr>
        <w:pBdr>
          <w:top w:val="single" w:sz="4" w:space="1" w:color="auto"/>
          <w:left w:val="single" w:sz="4" w:space="0" w:color="auto"/>
          <w:bottom w:val="single" w:sz="4" w:space="1" w:color="auto"/>
          <w:right w:val="single" w:sz="4" w:space="5" w:color="auto"/>
          <w:between w:val="single" w:sz="4" w:space="1" w:color="auto"/>
          <w:bar w:val="single" w:sz="4" w:color="auto"/>
        </w:pBdr>
        <w:spacing w:line="228" w:lineRule="auto"/>
        <w:ind w:left="1410" w:right="192" w:hanging="1410"/>
        <w:jc w:val="both"/>
        <w:rPr>
          <w:rFonts w:ascii="Arial" w:hAnsi="Arial" w:cs="Arial"/>
          <w:sz w:val="22"/>
          <w:szCs w:val="22"/>
        </w:rPr>
      </w:pPr>
      <w:r w:rsidRPr="009D1B99">
        <w:rPr>
          <w:rFonts w:ascii="Arial" w:hAnsi="Arial" w:cs="Arial"/>
          <w:noProof/>
          <w:sz w:val="22"/>
          <w:szCs w:val="22"/>
          <w:lang w:val="es-SV" w:eastAsia="es-SV"/>
        </w:rPr>
        <w:drawing>
          <wp:inline distT="0" distB="0" distL="0" distR="0">
            <wp:extent cx="5886450" cy="2295525"/>
            <wp:effectExtent l="19050" t="0" r="19050" b="0"/>
            <wp:docPr id="1"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454B08" w:rsidRDefault="00454B08" w:rsidP="00454B08">
      <w:pPr>
        <w:jc w:val="both"/>
        <w:rPr>
          <w:rFonts w:ascii="Arial" w:hAnsi="Arial" w:cs="Arial"/>
          <w:b/>
          <w:bCs/>
          <w:sz w:val="20"/>
          <w:szCs w:val="20"/>
        </w:rPr>
      </w:pPr>
      <w:r w:rsidRPr="007D528A">
        <w:rPr>
          <w:rFonts w:cs="Arial"/>
          <w:b/>
          <w:sz w:val="20"/>
          <w:szCs w:val="20"/>
        </w:rPr>
        <w:t>Simbología:</w:t>
      </w:r>
      <w:r>
        <w:rPr>
          <w:rFonts w:ascii="Arial" w:hAnsi="Arial" w:cs="Arial"/>
          <w:b/>
          <w:bCs/>
          <w:sz w:val="20"/>
          <w:szCs w:val="20"/>
        </w:rPr>
        <w:t xml:space="preserve"> </w:t>
      </w:r>
      <w:r w:rsidR="00504ECA">
        <w:rPr>
          <w:rFonts w:ascii="Arial" w:hAnsi="Arial" w:cs="Arial"/>
          <w:b/>
          <w:bCs/>
          <w:sz w:val="20"/>
          <w:szCs w:val="20"/>
        </w:rPr>
        <w:t>1</w:t>
      </w:r>
      <w:r w:rsidRPr="00B22429">
        <w:rPr>
          <w:rFonts w:cs="Arial"/>
          <w:b/>
          <w:sz w:val="20"/>
          <w:szCs w:val="20"/>
        </w:rPr>
        <w:t>.</w:t>
      </w:r>
      <w:r w:rsidRPr="00733688">
        <w:rPr>
          <w:rFonts w:ascii="Arial" w:hAnsi="Arial" w:cs="Arial"/>
          <w:b/>
          <w:bCs/>
          <w:sz w:val="20"/>
          <w:szCs w:val="20"/>
        </w:rPr>
        <w:t xml:space="preserve"> </w:t>
      </w:r>
      <w:r>
        <w:rPr>
          <w:rFonts w:ascii="Arial" w:hAnsi="Arial" w:cs="Arial"/>
          <w:b/>
          <w:bCs/>
          <w:sz w:val="20"/>
          <w:szCs w:val="20"/>
        </w:rPr>
        <w:t xml:space="preserve">Gestión y seguimiento del presupuesto institucional; </w:t>
      </w:r>
      <w:r w:rsidR="00504ECA">
        <w:rPr>
          <w:rFonts w:ascii="Arial" w:hAnsi="Arial" w:cs="Arial"/>
          <w:b/>
          <w:bCs/>
          <w:sz w:val="20"/>
          <w:szCs w:val="20"/>
        </w:rPr>
        <w:t>2</w:t>
      </w:r>
      <w:r w:rsidRPr="00B22429">
        <w:rPr>
          <w:rFonts w:cs="Arial"/>
          <w:b/>
          <w:sz w:val="20"/>
          <w:szCs w:val="20"/>
        </w:rPr>
        <w:t>.</w:t>
      </w:r>
      <w:r w:rsidRPr="00733688">
        <w:rPr>
          <w:rFonts w:ascii="Arial" w:hAnsi="Arial" w:cs="Arial"/>
          <w:b/>
          <w:bCs/>
          <w:sz w:val="20"/>
          <w:szCs w:val="20"/>
        </w:rPr>
        <w:t xml:space="preserve"> </w:t>
      </w:r>
      <w:r>
        <w:rPr>
          <w:rFonts w:ascii="Arial" w:hAnsi="Arial" w:cs="Arial"/>
          <w:b/>
          <w:bCs/>
          <w:sz w:val="20"/>
          <w:szCs w:val="20"/>
        </w:rPr>
        <w:t xml:space="preserve">Registro de obligaciones por pagar; </w:t>
      </w:r>
      <w:r w:rsidR="00504ECA">
        <w:rPr>
          <w:rFonts w:ascii="Arial" w:hAnsi="Arial" w:cs="Arial"/>
          <w:b/>
          <w:bCs/>
          <w:sz w:val="20"/>
          <w:szCs w:val="20"/>
        </w:rPr>
        <w:t>3.</w:t>
      </w:r>
      <w:r w:rsidRPr="00733688">
        <w:rPr>
          <w:rFonts w:ascii="Arial" w:hAnsi="Arial" w:cs="Arial"/>
          <w:b/>
          <w:bCs/>
          <w:sz w:val="20"/>
          <w:szCs w:val="20"/>
        </w:rPr>
        <w:t xml:space="preserve"> </w:t>
      </w:r>
      <w:r>
        <w:rPr>
          <w:rFonts w:ascii="Arial" w:hAnsi="Arial" w:cs="Arial"/>
          <w:b/>
          <w:bCs/>
          <w:sz w:val="20"/>
          <w:szCs w:val="20"/>
        </w:rPr>
        <w:t>Validación, contabilización de hechos económicos y generación de estados financieros.</w:t>
      </w:r>
    </w:p>
    <w:p w:rsidR="00454B08" w:rsidRPr="00F263A3" w:rsidRDefault="00454B08" w:rsidP="00454B08">
      <w:pPr>
        <w:spacing w:line="228" w:lineRule="auto"/>
        <w:jc w:val="both"/>
        <w:rPr>
          <w:rFonts w:ascii="Arial" w:hAnsi="Arial" w:cs="Arial"/>
          <w:color w:val="FF0000"/>
          <w:sz w:val="20"/>
          <w:szCs w:val="20"/>
        </w:rPr>
      </w:pPr>
      <w:r w:rsidRPr="00F263A3">
        <w:rPr>
          <w:rFonts w:ascii="Arial" w:hAnsi="Arial" w:cs="Arial"/>
          <w:bCs/>
          <w:sz w:val="20"/>
          <w:szCs w:val="20"/>
        </w:rPr>
        <w:t>FUENTE:</w:t>
      </w:r>
      <w:r w:rsidRPr="00F263A3">
        <w:rPr>
          <w:rFonts w:ascii="Arial" w:hAnsi="Arial" w:cs="Arial"/>
          <w:sz w:val="20"/>
          <w:szCs w:val="20"/>
        </w:rPr>
        <w:t xml:space="preserve"> </w:t>
      </w:r>
      <w:r w:rsidRPr="00F263A3">
        <w:rPr>
          <w:rFonts w:ascii="Arial" w:hAnsi="Arial" w:cs="Arial"/>
          <w:b/>
          <w:sz w:val="20"/>
          <w:szCs w:val="20"/>
        </w:rPr>
        <w:t>OFI</w:t>
      </w:r>
      <w:r w:rsidRPr="00F263A3">
        <w:rPr>
          <w:rFonts w:ascii="Arial" w:hAnsi="Arial" w:cs="Arial"/>
          <w:sz w:val="20"/>
          <w:szCs w:val="20"/>
        </w:rPr>
        <w:t>. Informe de avance físico de abril a junio de 201</w:t>
      </w:r>
      <w:r w:rsidR="00504ECA">
        <w:rPr>
          <w:rFonts w:ascii="Arial" w:hAnsi="Arial" w:cs="Arial"/>
          <w:sz w:val="20"/>
          <w:szCs w:val="20"/>
        </w:rPr>
        <w:t>9</w:t>
      </w:r>
      <w:r w:rsidRPr="00F263A3">
        <w:rPr>
          <w:rFonts w:ascii="Arial" w:hAnsi="Arial" w:cs="Arial"/>
          <w:sz w:val="20"/>
          <w:szCs w:val="20"/>
        </w:rPr>
        <w:t>.</w:t>
      </w:r>
    </w:p>
    <w:p w:rsidR="00454B08" w:rsidRDefault="00454B08" w:rsidP="00454B08">
      <w:pPr>
        <w:pStyle w:val="Textoindependiente3"/>
        <w:rPr>
          <w:color w:val="548DD4"/>
          <w:szCs w:val="24"/>
        </w:rPr>
      </w:pPr>
    </w:p>
    <w:p w:rsidR="00454B08" w:rsidRDefault="00454B08" w:rsidP="00454B08">
      <w:pPr>
        <w:pStyle w:val="Textoindependiente3"/>
        <w:ind w:left="284" w:hanging="284"/>
        <w:rPr>
          <w:rFonts w:cs="Arial"/>
          <w:color w:val="000000" w:themeColor="text1"/>
        </w:rPr>
      </w:pPr>
      <w:r w:rsidRPr="001D76E0">
        <w:rPr>
          <w:rFonts w:cs="Arial"/>
          <w:color w:val="000000" w:themeColor="text1"/>
        </w:rPr>
        <w:t>En el trimestre</w:t>
      </w:r>
      <w:r>
        <w:rPr>
          <w:rFonts w:cs="Arial"/>
          <w:color w:val="000000" w:themeColor="text1"/>
        </w:rPr>
        <w:t>,</w:t>
      </w:r>
      <w:r w:rsidRPr="001D76E0">
        <w:rPr>
          <w:rFonts w:cs="Arial"/>
          <w:color w:val="000000" w:themeColor="text1"/>
        </w:rPr>
        <w:t xml:space="preserve"> </w:t>
      </w:r>
      <w:r>
        <w:rPr>
          <w:rFonts w:cs="Arial"/>
          <w:color w:val="000000" w:themeColor="text1"/>
        </w:rPr>
        <w:t>la OFI</w:t>
      </w:r>
      <w:r w:rsidRPr="001D76E0">
        <w:rPr>
          <w:rFonts w:cs="Arial"/>
          <w:color w:val="000000" w:themeColor="text1"/>
        </w:rPr>
        <w:t xml:space="preserve"> generó varios productos, entre ellos:</w:t>
      </w:r>
    </w:p>
    <w:p w:rsidR="00454B08" w:rsidRDefault="00454B08" w:rsidP="00454B08">
      <w:pPr>
        <w:pStyle w:val="Textoindependiente3"/>
        <w:ind w:left="284" w:hanging="284"/>
        <w:rPr>
          <w:szCs w:val="24"/>
        </w:rPr>
      </w:pPr>
    </w:p>
    <w:p w:rsidR="00454B08" w:rsidRPr="009B674E" w:rsidRDefault="00454B08" w:rsidP="00454B08">
      <w:pPr>
        <w:spacing w:line="216" w:lineRule="auto"/>
        <w:jc w:val="both"/>
        <w:rPr>
          <w:rFonts w:ascii="Arial" w:hAnsi="Arial" w:cs="Arial"/>
          <w:bCs/>
          <w:color w:val="000000" w:themeColor="text1"/>
          <w:sz w:val="22"/>
          <w:szCs w:val="22"/>
        </w:rPr>
      </w:pPr>
      <w:r w:rsidRPr="009B674E">
        <w:rPr>
          <w:rFonts w:ascii="Arial" w:hAnsi="Arial" w:cs="Arial"/>
          <w:bCs/>
          <w:color w:val="000000" w:themeColor="text1"/>
          <w:sz w:val="22"/>
          <w:szCs w:val="22"/>
        </w:rPr>
        <w:t xml:space="preserve">Entre los productos generados por la OFI, se destacan: La elaboración de </w:t>
      </w:r>
      <w:r w:rsidRPr="009B674E">
        <w:rPr>
          <w:rFonts w:ascii="Arial" w:hAnsi="Arial" w:cs="Arial"/>
          <w:b/>
          <w:bCs/>
          <w:color w:val="000000" w:themeColor="text1"/>
          <w:sz w:val="22"/>
          <w:szCs w:val="22"/>
        </w:rPr>
        <w:t>1</w:t>
      </w:r>
      <w:r w:rsidR="009B674E" w:rsidRPr="009B674E">
        <w:rPr>
          <w:rFonts w:ascii="Arial" w:hAnsi="Arial" w:cs="Arial"/>
          <w:b/>
          <w:bCs/>
          <w:color w:val="000000" w:themeColor="text1"/>
          <w:sz w:val="22"/>
          <w:szCs w:val="22"/>
        </w:rPr>
        <w:t>1</w:t>
      </w:r>
      <w:r w:rsidRPr="009B674E">
        <w:rPr>
          <w:rFonts w:ascii="Arial" w:hAnsi="Arial" w:cs="Arial"/>
          <w:bCs/>
          <w:color w:val="000000" w:themeColor="text1"/>
          <w:sz w:val="22"/>
          <w:szCs w:val="22"/>
        </w:rPr>
        <w:t xml:space="preserve"> informes semanales de seguimiento a la ejecución del presupuesto ordinario, </w:t>
      </w:r>
      <w:r w:rsidRPr="009B674E">
        <w:rPr>
          <w:rFonts w:ascii="Arial" w:hAnsi="Arial" w:cs="Arial"/>
          <w:b/>
          <w:bCs/>
          <w:color w:val="000000" w:themeColor="text1"/>
          <w:sz w:val="22"/>
          <w:szCs w:val="22"/>
        </w:rPr>
        <w:t>1</w:t>
      </w:r>
      <w:r w:rsidR="009B674E" w:rsidRPr="009B674E">
        <w:rPr>
          <w:rFonts w:ascii="Arial" w:hAnsi="Arial" w:cs="Arial"/>
          <w:b/>
          <w:bCs/>
          <w:color w:val="000000" w:themeColor="text1"/>
          <w:sz w:val="22"/>
          <w:szCs w:val="22"/>
        </w:rPr>
        <w:t>1</w:t>
      </w:r>
      <w:r w:rsidRPr="009B674E">
        <w:rPr>
          <w:rFonts w:ascii="Arial" w:hAnsi="Arial" w:cs="Arial"/>
          <w:bCs/>
          <w:color w:val="000000" w:themeColor="text1"/>
          <w:sz w:val="22"/>
          <w:szCs w:val="22"/>
        </w:rPr>
        <w:t xml:space="preserve"> informes semanales, sobre el seguimiento financiero de la inversión; </w:t>
      </w:r>
      <w:r w:rsidRPr="009B674E">
        <w:rPr>
          <w:rFonts w:ascii="Arial" w:hAnsi="Arial" w:cs="Arial"/>
          <w:b/>
          <w:bCs/>
          <w:color w:val="000000" w:themeColor="text1"/>
          <w:sz w:val="22"/>
          <w:szCs w:val="22"/>
        </w:rPr>
        <w:t>tres</w:t>
      </w:r>
      <w:r w:rsidRPr="009B674E">
        <w:rPr>
          <w:rFonts w:ascii="Arial" w:hAnsi="Arial" w:cs="Arial"/>
          <w:bCs/>
          <w:color w:val="000000" w:themeColor="text1"/>
          <w:sz w:val="22"/>
          <w:szCs w:val="22"/>
        </w:rPr>
        <w:t xml:space="preserve"> informes de obligaciones por pagar; </w:t>
      </w:r>
      <w:r w:rsidRPr="009B674E">
        <w:rPr>
          <w:rFonts w:ascii="Arial" w:hAnsi="Arial" w:cs="Arial"/>
          <w:b/>
          <w:bCs/>
          <w:color w:val="000000" w:themeColor="text1"/>
          <w:sz w:val="22"/>
          <w:szCs w:val="22"/>
        </w:rPr>
        <w:t>2</w:t>
      </w:r>
      <w:r w:rsidR="009B674E" w:rsidRPr="009B674E">
        <w:rPr>
          <w:rFonts w:ascii="Arial" w:hAnsi="Arial" w:cs="Arial"/>
          <w:b/>
          <w:bCs/>
          <w:color w:val="000000" w:themeColor="text1"/>
          <w:sz w:val="22"/>
          <w:szCs w:val="22"/>
        </w:rPr>
        <w:t>90</w:t>
      </w:r>
      <w:r w:rsidRPr="009B674E">
        <w:rPr>
          <w:rFonts w:ascii="Arial" w:hAnsi="Arial" w:cs="Arial"/>
          <w:bCs/>
          <w:color w:val="000000" w:themeColor="text1"/>
          <w:sz w:val="22"/>
          <w:szCs w:val="22"/>
        </w:rPr>
        <w:t xml:space="preserve"> informes de cuotas para pago de obligaciones; ingreso de </w:t>
      </w:r>
      <w:r w:rsidRPr="009B674E">
        <w:rPr>
          <w:rFonts w:ascii="Arial" w:hAnsi="Arial" w:cs="Arial"/>
          <w:b/>
          <w:bCs/>
          <w:color w:val="000000" w:themeColor="text1"/>
          <w:sz w:val="22"/>
          <w:szCs w:val="22"/>
        </w:rPr>
        <w:t>2,</w:t>
      </w:r>
      <w:r w:rsidR="009B674E" w:rsidRPr="009B674E">
        <w:rPr>
          <w:rFonts w:ascii="Arial" w:hAnsi="Arial" w:cs="Arial"/>
          <w:b/>
          <w:bCs/>
          <w:color w:val="000000" w:themeColor="text1"/>
          <w:sz w:val="22"/>
          <w:szCs w:val="22"/>
        </w:rPr>
        <w:t>6</w:t>
      </w:r>
      <w:r w:rsidRPr="009B674E">
        <w:rPr>
          <w:rFonts w:ascii="Arial" w:hAnsi="Arial" w:cs="Arial"/>
          <w:b/>
          <w:bCs/>
          <w:color w:val="000000" w:themeColor="text1"/>
          <w:sz w:val="22"/>
          <w:szCs w:val="22"/>
        </w:rPr>
        <w:t>2</w:t>
      </w:r>
      <w:r w:rsidR="009B674E" w:rsidRPr="009B674E">
        <w:rPr>
          <w:rFonts w:ascii="Arial" w:hAnsi="Arial" w:cs="Arial"/>
          <w:b/>
          <w:bCs/>
          <w:color w:val="000000" w:themeColor="text1"/>
          <w:sz w:val="22"/>
          <w:szCs w:val="22"/>
        </w:rPr>
        <w:t>6</w:t>
      </w:r>
      <w:r w:rsidRPr="009B674E">
        <w:rPr>
          <w:rFonts w:ascii="Arial" w:hAnsi="Arial" w:cs="Arial"/>
          <w:bCs/>
          <w:color w:val="000000" w:themeColor="text1"/>
          <w:sz w:val="22"/>
          <w:szCs w:val="22"/>
        </w:rPr>
        <w:t xml:space="preserve"> registros en la aplicación SAFI; validación de </w:t>
      </w:r>
      <w:r w:rsidR="009B674E" w:rsidRPr="009B674E">
        <w:rPr>
          <w:rFonts w:ascii="Arial" w:hAnsi="Arial" w:cs="Arial"/>
          <w:bCs/>
          <w:color w:val="000000" w:themeColor="text1"/>
          <w:sz w:val="22"/>
          <w:szCs w:val="22"/>
        </w:rPr>
        <w:t>380</w:t>
      </w:r>
      <w:r w:rsidRPr="009B674E">
        <w:rPr>
          <w:rFonts w:ascii="Arial" w:hAnsi="Arial" w:cs="Arial"/>
          <w:b/>
          <w:bCs/>
          <w:color w:val="000000" w:themeColor="text1"/>
          <w:sz w:val="22"/>
          <w:szCs w:val="22"/>
        </w:rPr>
        <w:t>5</w:t>
      </w:r>
      <w:r w:rsidRPr="009B674E">
        <w:rPr>
          <w:rFonts w:ascii="Arial" w:hAnsi="Arial" w:cs="Arial"/>
          <w:bCs/>
          <w:color w:val="000000" w:themeColor="text1"/>
          <w:sz w:val="22"/>
          <w:szCs w:val="22"/>
        </w:rPr>
        <w:t xml:space="preserve"> registros contables; y, la elaboración de</w:t>
      </w:r>
      <w:r w:rsidRPr="009B674E">
        <w:rPr>
          <w:rFonts w:ascii="Arial" w:hAnsi="Arial" w:cs="Arial"/>
          <w:b/>
          <w:bCs/>
          <w:color w:val="000000" w:themeColor="text1"/>
          <w:sz w:val="22"/>
          <w:szCs w:val="22"/>
        </w:rPr>
        <w:t xml:space="preserve"> 1</w:t>
      </w:r>
      <w:r w:rsidR="009B674E" w:rsidRPr="009B674E">
        <w:rPr>
          <w:rFonts w:ascii="Arial" w:hAnsi="Arial" w:cs="Arial"/>
          <w:b/>
          <w:bCs/>
          <w:color w:val="000000" w:themeColor="text1"/>
          <w:sz w:val="22"/>
          <w:szCs w:val="22"/>
        </w:rPr>
        <w:t>8</w:t>
      </w:r>
      <w:r w:rsidRPr="009B674E">
        <w:rPr>
          <w:rFonts w:ascii="Arial" w:hAnsi="Arial" w:cs="Arial"/>
          <w:bCs/>
          <w:color w:val="000000" w:themeColor="text1"/>
          <w:sz w:val="22"/>
          <w:szCs w:val="22"/>
        </w:rPr>
        <w:t xml:space="preserve"> Estados Financieros.</w:t>
      </w:r>
    </w:p>
    <w:p w:rsidR="00454B08" w:rsidRPr="009B674E" w:rsidRDefault="00454B08" w:rsidP="00454B08">
      <w:pPr>
        <w:pStyle w:val="Textoindependiente"/>
        <w:spacing w:line="228" w:lineRule="auto"/>
        <w:rPr>
          <w:rFonts w:ascii="Arial" w:hAnsi="Arial" w:cs="Arial"/>
          <w:b/>
          <w:bCs/>
          <w:color w:val="000000" w:themeColor="text1"/>
          <w:sz w:val="22"/>
          <w:szCs w:val="22"/>
        </w:rPr>
      </w:pPr>
    </w:p>
    <w:p w:rsidR="00454B08" w:rsidRDefault="00454B08" w:rsidP="00454B08">
      <w:pPr>
        <w:spacing w:line="216" w:lineRule="auto"/>
        <w:jc w:val="both"/>
        <w:rPr>
          <w:rFonts w:ascii="Arial" w:hAnsi="Arial" w:cs="Arial"/>
          <w:b/>
          <w:bCs/>
          <w:sz w:val="22"/>
          <w:szCs w:val="22"/>
        </w:rPr>
      </w:pPr>
      <w:r>
        <w:rPr>
          <w:rFonts w:ascii="Arial" w:hAnsi="Arial" w:cs="Arial"/>
          <w:b/>
          <w:bCs/>
          <w:sz w:val="22"/>
          <w:szCs w:val="22"/>
        </w:rPr>
        <w:t>II.</w:t>
      </w:r>
      <w:r>
        <w:rPr>
          <w:rFonts w:ascii="Arial" w:hAnsi="Arial" w:cs="Arial"/>
          <w:b/>
          <w:bCs/>
          <w:sz w:val="22"/>
          <w:szCs w:val="22"/>
        </w:rPr>
        <w:tab/>
        <w:t xml:space="preserve">AVANCE FISICO ALCANZADO EN EL PERIODO </w:t>
      </w:r>
      <w:r w:rsidRPr="002B6243">
        <w:rPr>
          <w:rFonts w:ascii="Arial" w:hAnsi="Arial" w:cs="Arial"/>
          <w:b/>
          <w:bCs/>
          <w:sz w:val="22"/>
          <w:szCs w:val="22"/>
        </w:rPr>
        <w:t>ENERO-</w:t>
      </w:r>
      <w:r>
        <w:rPr>
          <w:rFonts w:ascii="Arial" w:hAnsi="Arial" w:cs="Arial"/>
          <w:b/>
          <w:bCs/>
          <w:sz w:val="22"/>
          <w:szCs w:val="22"/>
        </w:rPr>
        <w:t>JUNIO DE 201</w:t>
      </w:r>
      <w:r w:rsidR="00A22619">
        <w:rPr>
          <w:rFonts w:ascii="Arial" w:hAnsi="Arial" w:cs="Arial"/>
          <w:b/>
          <w:bCs/>
          <w:sz w:val="22"/>
          <w:szCs w:val="22"/>
        </w:rPr>
        <w:t>9</w:t>
      </w:r>
      <w:r>
        <w:rPr>
          <w:rFonts w:ascii="Arial" w:hAnsi="Arial" w:cs="Arial"/>
          <w:b/>
          <w:bCs/>
          <w:sz w:val="22"/>
          <w:szCs w:val="22"/>
        </w:rPr>
        <w:t>.</w:t>
      </w:r>
    </w:p>
    <w:p w:rsidR="009B674E" w:rsidRDefault="009B674E" w:rsidP="00454B08">
      <w:pPr>
        <w:spacing w:line="216" w:lineRule="auto"/>
        <w:jc w:val="both"/>
        <w:rPr>
          <w:rFonts w:ascii="Arial" w:hAnsi="Arial" w:cs="Arial"/>
          <w:bCs/>
          <w:sz w:val="22"/>
          <w:szCs w:val="22"/>
        </w:rPr>
      </w:pPr>
    </w:p>
    <w:p w:rsidR="00454B08" w:rsidRDefault="00454B08" w:rsidP="00454B08">
      <w:pPr>
        <w:spacing w:line="216" w:lineRule="auto"/>
        <w:jc w:val="both"/>
        <w:rPr>
          <w:rFonts w:ascii="Arial" w:hAnsi="Arial" w:cs="Arial"/>
          <w:bCs/>
          <w:sz w:val="22"/>
          <w:szCs w:val="22"/>
        </w:rPr>
      </w:pPr>
      <w:r w:rsidRPr="005E2546">
        <w:rPr>
          <w:rFonts w:ascii="Arial" w:hAnsi="Arial" w:cs="Arial"/>
          <w:bCs/>
          <w:sz w:val="22"/>
          <w:szCs w:val="22"/>
        </w:rPr>
        <w:t>En</w:t>
      </w:r>
      <w:r>
        <w:rPr>
          <w:rFonts w:ascii="Arial" w:hAnsi="Arial" w:cs="Arial"/>
          <w:bCs/>
          <w:sz w:val="22"/>
          <w:szCs w:val="22"/>
        </w:rPr>
        <w:t xml:space="preserve"> el periodo reportado, la OFI logra un avance físico de </w:t>
      </w:r>
      <w:r w:rsidR="00155676" w:rsidRPr="00155676">
        <w:rPr>
          <w:rFonts w:ascii="Arial" w:hAnsi="Arial" w:cs="Arial"/>
          <w:b/>
          <w:bCs/>
          <w:sz w:val="22"/>
          <w:szCs w:val="22"/>
        </w:rPr>
        <w:t>100</w:t>
      </w:r>
      <w:r w:rsidRPr="002B6243">
        <w:rPr>
          <w:rFonts w:ascii="Arial" w:hAnsi="Arial" w:cs="Arial"/>
          <w:bCs/>
          <w:sz w:val="22"/>
          <w:szCs w:val="22"/>
        </w:rPr>
        <w:t xml:space="preserve">% </w:t>
      </w:r>
      <w:r>
        <w:rPr>
          <w:rFonts w:ascii="Arial" w:hAnsi="Arial" w:cs="Arial"/>
          <w:bCs/>
          <w:sz w:val="22"/>
          <w:szCs w:val="22"/>
        </w:rPr>
        <w:t>respecto a</w:t>
      </w:r>
      <w:r w:rsidRPr="005E2546">
        <w:rPr>
          <w:rFonts w:ascii="Arial" w:hAnsi="Arial" w:cs="Arial"/>
          <w:bCs/>
          <w:sz w:val="22"/>
          <w:szCs w:val="22"/>
        </w:rPr>
        <w:t xml:space="preserve"> las metas planificadas a cumplir al mes de </w:t>
      </w:r>
      <w:r w:rsidR="00155676" w:rsidRPr="00155676">
        <w:rPr>
          <w:rFonts w:ascii="Arial" w:hAnsi="Arial" w:cs="Arial"/>
          <w:b/>
          <w:bCs/>
          <w:sz w:val="22"/>
          <w:szCs w:val="22"/>
        </w:rPr>
        <w:t>junio</w:t>
      </w:r>
      <w:r w:rsidRPr="005E2546">
        <w:rPr>
          <w:rFonts w:ascii="Arial" w:hAnsi="Arial" w:cs="Arial"/>
          <w:bCs/>
          <w:sz w:val="22"/>
          <w:szCs w:val="22"/>
        </w:rPr>
        <w:t xml:space="preserve">, nivel de cumplimiento que es calificado </w:t>
      </w:r>
      <w:r w:rsidRPr="002B6243">
        <w:rPr>
          <w:rFonts w:ascii="Arial" w:hAnsi="Arial" w:cs="Arial"/>
          <w:bCs/>
          <w:sz w:val="22"/>
          <w:szCs w:val="22"/>
        </w:rPr>
        <w:t xml:space="preserve">como </w:t>
      </w:r>
      <w:r w:rsidRPr="00EC15F8">
        <w:rPr>
          <w:rFonts w:ascii="Arial" w:hAnsi="Arial" w:cs="Arial"/>
          <w:b/>
          <w:bCs/>
          <w:sz w:val="22"/>
          <w:szCs w:val="22"/>
        </w:rPr>
        <w:t>Muy Bueno</w:t>
      </w:r>
      <w:r>
        <w:rPr>
          <w:rFonts w:ascii="Arial" w:hAnsi="Arial" w:cs="Arial"/>
          <w:bCs/>
          <w:sz w:val="22"/>
          <w:szCs w:val="22"/>
        </w:rPr>
        <w:t>.</w:t>
      </w:r>
    </w:p>
    <w:p w:rsidR="00454B08" w:rsidRDefault="00454B08" w:rsidP="00454B08">
      <w:pPr>
        <w:spacing w:line="216" w:lineRule="auto"/>
        <w:ind w:left="1410" w:hanging="1410"/>
        <w:jc w:val="both"/>
        <w:rPr>
          <w:rFonts w:ascii="Arial" w:hAnsi="Arial" w:cs="Arial"/>
          <w:b/>
          <w:bCs/>
          <w:sz w:val="22"/>
          <w:szCs w:val="22"/>
        </w:rPr>
      </w:pPr>
    </w:p>
    <w:p w:rsidR="00454B08" w:rsidRDefault="00454B08" w:rsidP="00454B08">
      <w:pPr>
        <w:spacing w:line="216" w:lineRule="auto"/>
        <w:ind w:left="1410" w:hanging="1410"/>
        <w:jc w:val="both"/>
        <w:rPr>
          <w:rFonts w:ascii="Arial" w:hAnsi="Arial" w:cs="Arial"/>
          <w:b/>
          <w:bCs/>
          <w:sz w:val="22"/>
          <w:szCs w:val="22"/>
        </w:rPr>
      </w:pPr>
    </w:p>
    <w:p w:rsidR="00454B08" w:rsidRDefault="00454B08" w:rsidP="00454B08">
      <w:pPr>
        <w:spacing w:line="216" w:lineRule="auto"/>
        <w:ind w:left="1410" w:hanging="1410"/>
        <w:jc w:val="both"/>
        <w:rPr>
          <w:rFonts w:ascii="Arial" w:hAnsi="Arial" w:cs="Arial"/>
          <w:sz w:val="22"/>
          <w:szCs w:val="22"/>
        </w:rPr>
      </w:pPr>
      <w:r>
        <w:rPr>
          <w:rFonts w:ascii="Arial" w:hAnsi="Arial" w:cs="Arial"/>
          <w:b/>
          <w:bCs/>
          <w:sz w:val="22"/>
          <w:szCs w:val="22"/>
        </w:rPr>
        <w:t>Gráfico 2.</w:t>
      </w:r>
      <w:r>
        <w:rPr>
          <w:rFonts w:ascii="Arial" w:hAnsi="Arial" w:cs="Arial"/>
          <w:sz w:val="22"/>
          <w:szCs w:val="22"/>
        </w:rPr>
        <w:tab/>
        <w:t xml:space="preserve">Avance físico en porcentaje por Acción Estratégica y total Institucional, en el periodo </w:t>
      </w:r>
      <w:r w:rsidRPr="002B6243">
        <w:rPr>
          <w:rFonts w:ascii="Arial" w:hAnsi="Arial" w:cs="Arial"/>
          <w:sz w:val="22"/>
          <w:szCs w:val="22"/>
        </w:rPr>
        <w:t>enero-</w:t>
      </w:r>
      <w:r>
        <w:rPr>
          <w:rFonts w:ascii="Arial" w:hAnsi="Arial" w:cs="Arial"/>
          <w:sz w:val="22"/>
          <w:szCs w:val="22"/>
        </w:rPr>
        <w:t>junio de 201</w:t>
      </w:r>
      <w:r w:rsidR="00A22619">
        <w:rPr>
          <w:rFonts w:ascii="Arial" w:hAnsi="Arial" w:cs="Arial"/>
          <w:sz w:val="22"/>
          <w:szCs w:val="22"/>
        </w:rPr>
        <w:t>9</w:t>
      </w:r>
      <w:r>
        <w:rPr>
          <w:rFonts w:ascii="Arial" w:hAnsi="Arial" w:cs="Arial"/>
          <w:sz w:val="22"/>
          <w:szCs w:val="22"/>
        </w:rPr>
        <w:t>.</w:t>
      </w:r>
    </w:p>
    <w:p w:rsidR="00454B08" w:rsidRDefault="00454B08" w:rsidP="00454B08">
      <w:pPr>
        <w:pBdr>
          <w:top w:val="single" w:sz="4" w:space="1" w:color="auto"/>
          <w:bottom w:val="single" w:sz="4" w:space="1" w:color="auto"/>
        </w:pBdr>
        <w:tabs>
          <w:tab w:val="left" w:pos="0"/>
        </w:tabs>
        <w:spacing w:line="216" w:lineRule="auto"/>
        <w:jc w:val="both"/>
        <w:rPr>
          <w:rFonts w:ascii="Arial" w:hAnsi="Arial" w:cs="Arial"/>
          <w:b/>
          <w:bCs/>
          <w:sz w:val="20"/>
          <w:szCs w:val="20"/>
        </w:rPr>
      </w:pPr>
      <w:r>
        <w:rPr>
          <w:noProof/>
          <w:lang w:val="es-SV" w:eastAsia="es-SV"/>
        </w:rPr>
        <w:drawing>
          <wp:inline distT="0" distB="0" distL="0" distR="0">
            <wp:extent cx="6162675" cy="2647950"/>
            <wp:effectExtent l="19050" t="0" r="9525" b="0"/>
            <wp:docPr id="2" name="Objeto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54B08" w:rsidRDefault="00454B08" w:rsidP="00454B08">
      <w:pPr>
        <w:tabs>
          <w:tab w:val="left" w:pos="1276"/>
        </w:tabs>
        <w:spacing w:line="216" w:lineRule="auto"/>
        <w:ind w:hanging="142"/>
        <w:jc w:val="both"/>
        <w:rPr>
          <w:rFonts w:ascii="Arial" w:hAnsi="Arial" w:cs="Arial"/>
          <w:sz w:val="20"/>
          <w:szCs w:val="20"/>
        </w:rPr>
      </w:pPr>
      <w:r>
        <w:rPr>
          <w:rFonts w:ascii="Arial" w:hAnsi="Arial" w:cs="Arial"/>
          <w:sz w:val="20"/>
          <w:szCs w:val="20"/>
        </w:rPr>
        <w:t xml:space="preserve">  </w:t>
      </w:r>
      <w:r w:rsidRPr="00D764F7">
        <w:rPr>
          <w:rFonts w:ascii="Arial" w:hAnsi="Arial" w:cs="Arial"/>
          <w:b/>
          <w:sz w:val="20"/>
          <w:szCs w:val="20"/>
        </w:rPr>
        <w:t>SIMBOLOGIA</w:t>
      </w:r>
      <w:r w:rsidRPr="00D764F7">
        <w:rPr>
          <w:rFonts w:ascii="Arial" w:hAnsi="Arial" w:cs="Arial"/>
          <w:sz w:val="20"/>
          <w:szCs w:val="20"/>
        </w:rPr>
        <w:t xml:space="preserve">: </w:t>
      </w:r>
      <w:r w:rsidR="004C49CE" w:rsidRPr="004C49CE">
        <w:rPr>
          <w:rFonts w:ascii="Arial" w:hAnsi="Arial" w:cs="Arial"/>
          <w:b/>
          <w:sz w:val="20"/>
          <w:szCs w:val="20"/>
        </w:rPr>
        <w:t>1</w:t>
      </w:r>
      <w:r w:rsidRPr="00D764F7">
        <w:rPr>
          <w:rFonts w:ascii="Arial" w:hAnsi="Arial" w:cs="Arial"/>
          <w:sz w:val="20"/>
          <w:szCs w:val="20"/>
        </w:rPr>
        <w:t xml:space="preserve">.Gestión y seguimiento del presupuesto institucional; </w:t>
      </w:r>
      <w:r w:rsidR="004C49CE" w:rsidRPr="004C49CE">
        <w:rPr>
          <w:rFonts w:ascii="Arial" w:hAnsi="Arial" w:cs="Arial"/>
          <w:b/>
          <w:sz w:val="20"/>
          <w:szCs w:val="20"/>
        </w:rPr>
        <w:t>2</w:t>
      </w:r>
      <w:r w:rsidRPr="00D764F7">
        <w:rPr>
          <w:rFonts w:ascii="Arial" w:hAnsi="Arial" w:cs="Arial"/>
          <w:b/>
          <w:sz w:val="20"/>
          <w:szCs w:val="20"/>
        </w:rPr>
        <w:t>.</w:t>
      </w:r>
      <w:r w:rsidRPr="00D764F7">
        <w:rPr>
          <w:rFonts w:ascii="Arial" w:hAnsi="Arial" w:cs="Arial"/>
          <w:sz w:val="20"/>
          <w:szCs w:val="20"/>
        </w:rPr>
        <w:t xml:space="preserve"> Registro de obligaciones por pagar; y,</w:t>
      </w:r>
      <w:r w:rsidR="004C49CE" w:rsidRPr="004C49CE">
        <w:rPr>
          <w:rFonts w:ascii="Arial" w:hAnsi="Arial" w:cs="Arial"/>
          <w:b/>
          <w:sz w:val="20"/>
          <w:szCs w:val="20"/>
        </w:rPr>
        <w:t>3</w:t>
      </w:r>
      <w:r w:rsidR="004C49CE">
        <w:rPr>
          <w:rFonts w:ascii="Arial" w:hAnsi="Arial" w:cs="Arial"/>
          <w:b/>
          <w:sz w:val="20"/>
          <w:szCs w:val="20"/>
        </w:rPr>
        <w:t>.</w:t>
      </w:r>
      <w:r w:rsidRPr="00D764F7">
        <w:rPr>
          <w:rFonts w:ascii="Arial" w:hAnsi="Arial" w:cs="Arial"/>
          <w:sz w:val="20"/>
          <w:szCs w:val="20"/>
        </w:rPr>
        <w:t xml:space="preserve"> Validación, contabilización de hechos económicos y generación de estados financieros. </w:t>
      </w:r>
    </w:p>
    <w:p w:rsidR="00454B08" w:rsidRDefault="00454B08" w:rsidP="00454B08">
      <w:pPr>
        <w:tabs>
          <w:tab w:val="left" w:pos="1276"/>
        </w:tabs>
        <w:spacing w:line="216" w:lineRule="auto"/>
        <w:ind w:hanging="142"/>
        <w:jc w:val="both"/>
        <w:rPr>
          <w:rFonts w:ascii="Arial" w:hAnsi="Arial" w:cs="Arial"/>
          <w:sz w:val="20"/>
          <w:szCs w:val="20"/>
        </w:rPr>
      </w:pPr>
      <w:r>
        <w:rPr>
          <w:rFonts w:ascii="Arial" w:hAnsi="Arial" w:cs="Arial"/>
          <w:b/>
          <w:bCs/>
          <w:sz w:val="20"/>
          <w:szCs w:val="20"/>
        </w:rPr>
        <w:tab/>
      </w:r>
      <w:r w:rsidRPr="00D764F7">
        <w:rPr>
          <w:rFonts w:ascii="Arial" w:hAnsi="Arial" w:cs="Arial"/>
          <w:b/>
          <w:bCs/>
          <w:sz w:val="20"/>
          <w:szCs w:val="20"/>
        </w:rPr>
        <w:t>FUENTE:</w:t>
      </w:r>
      <w:r>
        <w:rPr>
          <w:rFonts w:ascii="Arial" w:hAnsi="Arial" w:cs="Arial"/>
          <w:sz w:val="20"/>
          <w:szCs w:val="20"/>
        </w:rPr>
        <w:t xml:space="preserve">   </w:t>
      </w:r>
      <w:r w:rsidRPr="00D764F7">
        <w:rPr>
          <w:rFonts w:ascii="Arial" w:hAnsi="Arial" w:cs="Arial"/>
          <w:b/>
          <w:sz w:val="20"/>
          <w:szCs w:val="20"/>
        </w:rPr>
        <w:t>OFI.</w:t>
      </w:r>
      <w:r w:rsidRPr="00D764F7">
        <w:rPr>
          <w:rFonts w:ascii="Arial" w:hAnsi="Arial" w:cs="Arial"/>
          <w:sz w:val="20"/>
          <w:szCs w:val="20"/>
        </w:rPr>
        <w:t xml:space="preserve"> Informe de avance físico del </w:t>
      </w:r>
      <w:r>
        <w:rPr>
          <w:rFonts w:ascii="Arial" w:hAnsi="Arial" w:cs="Arial"/>
          <w:sz w:val="20"/>
          <w:szCs w:val="20"/>
        </w:rPr>
        <w:t>periodo enero-junio</w:t>
      </w:r>
      <w:r w:rsidRPr="00D764F7">
        <w:rPr>
          <w:rFonts w:ascii="Arial" w:hAnsi="Arial" w:cs="Arial"/>
          <w:sz w:val="20"/>
          <w:szCs w:val="20"/>
        </w:rPr>
        <w:t xml:space="preserve"> de 201</w:t>
      </w:r>
      <w:r w:rsidR="002E6C39">
        <w:rPr>
          <w:rFonts w:ascii="Arial" w:hAnsi="Arial" w:cs="Arial"/>
          <w:sz w:val="20"/>
          <w:szCs w:val="20"/>
        </w:rPr>
        <w:t>9</w:t>
      </w:r>
      <w:r>
        <w:rPr>
          <w:rFonts w:ascii="Arial" w:hAnsi="Arial" w:cs="Arial"/>
          <w:sz w:val="20"/>
          <w:szCs w:val="20"/>
        </w:rPr>
        <w:t>.</w:t>
      </w:r>
    </w:p>
    <w:p w:rsidR="00454B08" w:rsidRDefault="00454B08" w:rsidP="00454B08">
      <w:pPr>
        <w:spacing w:line="216" w:lineRule="auto"/>
        <w:jc w:val="both"/>
        <w:rPr>
          <w:rFonts w:ascii="Arial" w:hAnsi="Arial" w:cs="Arial"/>
          <w:bCs/>
          <w:sz w:val="22"/>
          <w:szCs w:val="22"/>
        </w:rPr>
      </w:pPr>
    </w:p>
    <w:p w:rsidR="00D22279" w:rsidRPr="00D22279" w:rsidRDefault="00D22279" w:rsidP="00D22279">
      <w:pPr>
        <w:spacing w:line="216" w:lineRule="auto"/>
        <w:jc w:val="both"/>
        <w:rPr>
          <w:rFonts w:ascii="Arial" w:hAnsi="Arial" w:cs="Arial"/>
          <w:bCs/>
          <w:color w:val="000000" w:themeColor="text1"/>
          <w:sz w:val="22"/>
          <w:szCs w:val="22"/>
        </w:rPr>
      </w:pPr>
      <w:r w:rsidRPr="00D22279">
        <w:rPr>
          <w:rFonts w:ascii="Arial" w:hAnsi="Arial" w:cs="Arial"/>
          <w:bCs/>
          <w:color w:val="000000" w:themeColor="text1"/>
          <w:sz w:val="22"/>
          <w:szCs w:val="22"/>
        </w:rPr>
        <w:t xml:space="preserve">La elaboración de </w:t>
      </w:r>
      <w:r w:rsidRPr="00D22279">
        <w:rPr>
          <w:rFonts w:ascii="Arial" w:hAnsi="Arial" w:cs="Arial"/>
          <w:b/>
          <w:bCs/>
          <w:color w:val="000000" w:themeColor="text1"/>
          <w:sz w:val="22"/>
          <w:szCs w:val="22"/>
        </w:rPr>
        <w:t>21</w:t>
      </w:r>
      <w:r w:rsidRPr="00D22279">
        <w:rPr>
          <w:rFonts w:ascii="Arial" w:hAnsi="Arial" w:cs="Arial"/>
          <w:bCs/>
          <w:color w:val="000000" w:themeColor="text1"/>
          <w:sz w:val="22"/>
          <w:szCs w:val="22"/>
        </w:rPr>
        <w:t xml:space="preserve"> informes semanales de seguimiento a la ejecución del presupuesto ordinario y </w:t>
      </w:r>
      <w:r w:rsidRPr="00D22279">
        <w:rPr>
          <w:rFonts w:ascii="Arial" w:hAnsi="Arial" w:cs="Arial"/>
          <w:b/>
          <w:bCs/>
          <w:color w:val="000000" w:themeColor="text1"/>
          <w:sz w:val="22"/>
          <w:szCs w:val="22"/>
        </w:rPr>
        <w:t>21</w:t>
      </w:r>
      <w:r w:rsidRPr="00D22279">
        <w:rPr>
          <w:rFonts w:ascii="Arial" w:hAnsi="Arial" w:cs="Arial"/>
          <w:bCs/>
          <w:color w:val="000000" w:themeColor="text1"/>
          <w:sz w:val="22"/>
          <w:szCs w:val="22"/>
        </w:rPr>
        <w:t xml:space="preserve"> informes semanales, sobre el seguimiento financiero de la inversión; otros </w:t>
      </w:r>
      <w:r w:rsidRPr="00D22279">
        <w:rPr>
          <w:rFonts w:ascii="Arial" w:hAnsi="Arial" w:cs="Arial"/>
          <w:b/>
          <w:bCs/>
          <w:color w:val="000000" w:themeColor="text1"/>
          <w:sz w:val="22"/>
          <w:szCs w:val="22"/>
        </w:rPr>
        <w:t>seis</w:t>
      </w:r>
      <w:r w:rsidRPr="00D22279">
        <w:rPr>
          <w:rFonts w:ascii="Arial" w:hAnsi="Arial" w:cs="Arial"/>
          <w:bCs/>
          <w:color w:val="000000" w:themeColor="text1"/>
          <w:sz w:val="22"/>
          <w:szCs w:val="22"/>
        </w:rPr>
        <w:t xml:space="preserve"> de obligaciones por pagar; </w:t>
      </w:r>
      <w:r w:rsidRPr="00D22279">
        <w:rPr>
          <w:rFonts w:ascii="Arial" w:hAnsi="Arial" w:cs="Arial"/>
          <w:b/>
          <w:bCs/>
          <w:color w:val="000000" w:themeColor="text1"/>
          <w:sz w:val="22"/>
          <w:szCs w:val="22"/>
        </w:rPr>
        <w:t>549</w:t>
      </w:r>
      <w:r w:rsidRPr="00D22279">
        <w:rPr>
          <w:rFonts w:ascii="Arial" w:hAnsi="Arial" w:cs="Arial"/>
          <w:bCs/>
          <w:color w:val="000000" w:themeColor="text1"/>
          <w:sz w:val="22"/>
          <w:szCs w:val="22"/>
        </w:rPr>
        <w:t xml:space="preserve"> informes de cuotas para pago de obligaciones; ingreso de </w:t>
      </w:r>
      <w:r w:rsidRPr="00D22279">
        <w:rPr>
          <w:rFonts w:ascii="Arial" w:hAnsi="Arial" w:cs="Arial"/>
          <w:b/>
          <w:bCs/>
          <w:color w:val="000000" w:themeColor="text1"/>
          <w:sz w:val="22"/>
          <w:szCs w:val="22"/>
        </w:rPr>
        <w:t>4.823</w:t>
      </w:r>
      <w:r w:rsidRPr="00D22279">
        <w:rPr>
          <w:rFonts w:ascii="Arial" w:hAnsi="Arial" w:cs="Arial"/>
          <w:bCs/>
          <w:color w:val="000000" w:themeColor="text1"/>
          <w:sz w:val="22"/>
          <w:szCs w:val="22"/>
        </w:rPr>
        <w:t xml:space="preserve"> registros en la aplicación SAFI; validación de </w:t>
      </w:r>
      <w:r w:rsidRPr="00D22279">
        <w:rPr>
          <w:rFonts w:ascii="Arial" w:hAnsi="Arial" w:cs="Arial"/>
          <w:b/>
          <w:bCs/>
          <w:color w:val="000000" w:themeColor="text1"/>
          <w:sz w:val="22"/>
          <w:szCs w:val="22"/>
        </w:rPr>
        <w:t>6,909</w:t>
      </w:r>
      <w:r w:rsidRPr="00D22279">
        <w:rPr>
          <w:rFonts w:ascii="Arial" w:hAnsi="Arial" w:cs="Arial"/>
          <w:bCs/>
          <w:color w:val="000000" w:themeColor="text1"/>
          <w:sz w:val="22"/>
          <w:szCs w:val="22"/>
        </w:rPr>
        <w:t xml:space="preserve"> registros contables; elaboración de </w:t>
      </w:r>
      <w:r w:rsidRPr="00D22279">
        <w:rPr>
          <w:rFonts w:ascii="Arial" w:hAnsi="Arial" w:cs="Arial"/>
          <w:b/>
          <w:bCs/>
          <w:color w:val="000000" w:themeColor="text1"/>
          <w:sz w:val="22"/>
          <w:szCs w:val="22"/>
        </w:rPr>
        <w:t>36</w:t>
      </w:r>
      <w:r w:rsidRPr="00D22279">
        <w:rPr>
          <w:rFonts w:ascii="Arial" w:hAnsi="Arial" w:cs="Arial"/>
          <w:bCs/>
          <w:color w:val="000000" w:themeColor="text1"/>
          <w:sz w:val="22"/>
          <w:szCs w:val="22"/>
        </w:rPr>
        <w:t xml:space="preserve"> Estados Financieros.</w:t>
      </w:r>
    </w:p>
    <w:p w:rsidR="00D22279" w:rsidRDefault="00D22279" w:rsidP="00454B08">
      <w:pPr>
        <w:spacing w:line="216" w:lineRule="auto"/>
        <w:jc w:val="both"/>
        <w:rPr>
          <w:rFonts w:ascii="Arial" w:hAnsi="Arial" w:cs="Arial"/>
          <w:bCs/>
          <w:sz w:val="22"/>
          <w:szCs w:val="22"/>
        </w:rPr>
      </w:pPr>
    </w:p>
    <w:p w:rsidR="00D22279" w:rsidRDefault="00D22279" w:rsidP="00454B08">
      <w:pPr>
        <w:spacing w:line="216" w:lineRule="auto"/>
        <w:jc w:val="both"/>
        <w:rPr>
          <w:rFonts w:ascii="Arial" w:hAnsi="Arial" w:cs="Arial"/>
          <w:b/>
          <w:sz w:val="22"/>
          <w:szCs w:val="22"/>
        </w:rPr>
      </w:pPr>
    </w:p>
    <w:p w:rsidR="00454B08" w:rsidRPr="000B7A9D" w:rsidRDefault="00454B08" w:rsidP="00454B08">
      <w:pPr>
        <w:spacing w:line="216" w:lineRule="auto"/>
        <w:jc w:val="both"/>
        <w:rPr>
          <w:rFonts w:ascii="Arial" w:hAnsi="Arial" w:cs="Arial"/>
          <w:b/>
          <w:sz w:val="22"/>
          <w:szCs w:val="22"/>
        </w:rPr>
      </w:pPr>
      <w:r>
        <w:rPr>
          <w:rFonts w:ascii="Arial" w:hAnsi="Arial" w:cs="Arial"/>
          <w:b/>
          <w:sz w:val="22"/>
          <w:szCs w:val="22"/>
        </w:rPr>
        <w:t>III.</w:t>
      </w:r>
      <w:r>
        <w:rPr>
          <w:rFonts w:ascii="Arial" w:hAnsi="Arial" w:cs="Arial"/>
          <w:b/>
          <w:sz w:val="22"/>
          <w:szCs w:val="22"/>
        </w:rPr>
        <w:tab/>
      </w:r>
      <w:r w:rsidRPr="000B7A9D">
        <w:rPr>
          <w:rFonts w:ascii="Arial" w:hAnsi="Arial" w:cs="Arial"/>
          <w:b/>
          <w:sz w:val="22"/>
          <w:szCs w:val="22"/>
        </w:rPr>
        <w:t>CONCLUSION Y RECOMENDACION</w:t>
      </w:r>
    </w:p>
    <w:p w:rsidR="00454B08" w:rsidRDefault="00454B08" w:rsidP="00454B08">
      <w:pPr>
        <w:ind w:left="-180"/>
        <w:jc w:val="both"/>
        <w:rPr>
          <w:rFonts w:ascii="Arial" w:hAnsi="Arial" w:cs="Arial"/>
          <w:sz w:val="22"/>
          <w:szCs w:val="22"/>
        </w:rPr>
      </w:pPr>
    </w:p>
    <w:p w:rsidR="00454B08" w:rsidRDefault="00454B08" w:rsidP="00454B08">
      <w:pPr>
        <w:jc w:val="both"/>
        <w:rPr>
          <w:rFonts w:ascii="Arial" w:hAnsi="Arial" w:cs="Arial"/>
          <w:b/>
          <w:sz w:val="22"/>
          <w:szCs w:val="22"/>
        </w:rPr>
      </w:pPr>
      <w:r>
        <w:rPr>
          <w:rFonts w:ascii="Arial" w:hAnsi="Arial" w:cs="Arial"/>
          <w:sz w:val="22"/>
          <w:szCs w:val="22"/>
        </w:rPr>
        <w:t xml:space="preserve">El nivel de cumplimiento alcanzado en el trimestre y período bajo análisis, es calificado como </w:t>
      </w:r>
      <w:r w:rsidRPr="00A9634F">
        <w:rPr>
          <w:rFonts w:ascii="Arial" w:hAnsi="Arial" w:cs="Arial"/>
          <w:b/>
          <w:sz w:val="22"/>
          <w:szCs w:val="22"/>
        </w:rPr>
        <w:t>Muy Bueno</w:t>
      </w:r>
      <w:r w:rsidR="00A141CC">
        <w:rPr>
          <w:rFonts w:ascii="Arial" w:hAnsi="Arial" w:cs="Arial"/>
          <w:b/>
          <w:sz w:val="22"/>
          <w:szCs w:val="22"/>
        </w:rPr>
        <w:t>.</w:t>
      </w:r>
    </w:p>
    <w:p w:rsidR="00454B08" w:rsidRPr="00A9634F" w:rsidRDefault="00454B08" w:rsidP="00454B08">
      <w:pPr>
        <w:jc w:val="both"/>
        <w:rPr>
          <w:rFonts w:ascii="Arial" w:hAnsi="Arial" w:cs="Arial"/>
          <w:sz w:val="22"/>
          <w:szCs w:val="22"/>
        </w:rPr>
      </w:pPr>
    </w:p>
    <w:p w:rsidR="00454B08" w:rsidRDefault="00454B08" w:rsidP="00454B08">
      <w:pPr>
        <w:jc w:val="both"/>
        <w:rPr>
          <w:rFonts w:ascii="Arial" w:hAnsi="Arial" w:cs="Arial"/>
          <w:sz w:val="22"/>
          <w:szCs w:val="22"/>
        </w:rPr>
      </w:pPr>
      <w:r w:rsidRPr="00A9634F">
        <w:rPr>
          <w:rFonts w:ascii="Arial" w:hAnsi="Arial" w:cs="Arial"/>
          <w:sz w:val="22"/>
          <w:szCs w:val="22"/>
        </w:rPr>
        <w:t>Por otra</w:t>
      </w:r>
      <w:r>
        <w:rPr>
          <w:rFonts w:ascii="Arial" w:hAnsi="Arial" w:cs="Arial"/>
          <w:sz w:val="22"/>
          <w:szCs w:val="22"/>
        </w:rPr>
        <w:t xml:space="preserve"> parte, en cumplimiento de recomendaciones de la Corte de Cuentas de República, se </w:t>
      </w:r>
      <w:r w:rsidR="00A141CC">
        <w:rPr>
          <w:rFonts w:ascii="Arial" w:hAnsi="Arial" w:cs="Arial"/>
          <w:sz w:val="22"/>
          <w:szCs w:val="22"/>
        </w:rPr>
        <w:t>hace un recordatorio</w:t>
      </w:r>
      <w:r>
        <w:rPr>
          <w:rFonts w:ascii="Arial" w:hAnsi="Arial" w:cs="Arial"/>
          <w:sz w:val="22"/>
          <w:szCs w:val="22"/>
        </w:rPr>
        <w:t xml:space="preserve"> a los Directores, Jefes de planificación y/o Referentes institucionales que, al interior de la Dependencia, tienen la responsabilidad de controlar y corroborar que cada meta reportada como realizada en los informes de cumplimiento, debe de contar con las evidencias que demuestren la concreción efectiva de la misma.</w:t>
      </w:r>
    </w:p>
    <w:p w:rsidR="00454B08" w:rsidRDefault="00454B08" w:rsidP="00454B08">
      <w:pPr>
        <w:jc w:val="both"/>
        <w:rPr>
          <w:rFonts w:ascii="Arial" w:hAnsi="Arial" w:cs="Arial"/>
          <w:sz w:val="22"/>
          <w:szCs w:val="22"/>
        </w:rPr>
      </w:pPr>
    </w:p>
    <w:p w:rsidR="00454B08" w:rsidRPr="0058599A" w:rsidRDefault="00454B08" w:rsidP="00454B08">
      <w:pPr>
        <w:pStyle w:val="Textoindependiente3"/>
        <w:spacing w:line="228" w:lineRule="auto"/>
        <w:rPr>
          <w:color w:val="000000" w:themeColor="text1"/>
        </w:rPr>
      </w:pPr>
      <w:r w:rsidRPr="0058599A">
        <w:rPr>
          <w:color w:val="000000" w:themeColor="text1"/>
        </w:rPr>
        <w:t>Basado en los niveles de cumplimiento logrados por la OFI, en el trimestre analizado, se concluye que el personal de dicha unidad ha realizado un trabajo muy bueno en lo que respecta a los procesos y actividades para obtener los Resultados.</w:t>
      </w:r>
    </w:p>
    <w:p w:rsidR="00454B08" w:rsidRPr="00F32AD5" w:rsidRDefault="00454B08" w:rsidP="00454B08">
      <w:pPr>
        <w:pStyle w:val="Textoindependiente3"/>
        <w:spacing w:line="228" w:lineRule="auto"/>
        <w:rPr>
          <w:color w:val="FF0000"/>
        </w:rPr>
      </w:pPr>
    </w:p>
    <w:p w:rsidR="00454B08" w:rsidRPr="00362784" w:rsidRDefault="00454B08" w:rsidP="00454B08">
      <w:pPr>
        <w:pStyle w:val="Textoindependiente3"/>
        <w:spacing w:line="228" w:lineRule="auto"/>
        <w:rPr>
          <w:color w:val="000000" w:themeColor="text1"/>
        </w:rPr>
      </w:pPr>
      <w:r w:rsidRPr="00362784">
        <w:rPr>
          <w:color w:val="000000" w:themeColor="text1"/>
        </w:rPr>
        <w:t>En este contexto, se insta a todo el personal a continuar con el mismo empeño en lo que resta del año, de manera que las metas se ejecuten con eficacia, eficiencia y economía, y se obtengan los Resultados previstos. De igual manera, se recuerda al Referente Institucional que debe velar porque se resguarde la evidencia que demuestre fehacientemente la realización de cada meta reportada como ejecutada.</w:t>
      </w:r>
    </w:p>
    <w:p w:rsidR="00454B08" w:rsidRDefault="00454B08" w:rsidP="00454B08">
      <w:pPr>
        <w:jc w:val="both"/>
        <w:rPr>
          <w:rFonts w:ascii="Arial" w:hAnsi="Arial" w:cs="Arial"/>
          <w:sz w:val="22"/>
          <w:szCs w:val="22"/>
        </w:rPr>
      </w:pPr>
    </w:p>
    <w:p w:rsidR="00454B08" w:rsidRDefault="00454B08" w:rsidP="00454B08">
      <w:pPr>
        <w:spacing w:line="216" w:lineRule="auto"/>
        <w:ind w:left="1416" w:hanging="1416"/>
        <w:jc w:val="both"/>
        <w:rPr>
          <w:rFonts w:ascii="Arial" w:hAnsi="Arial" w:cs="Arial"/>
          <w:b/>
          <w:sz w:val="22"/>
          <w:szCs w:val="22"/>
        </w:rPr>
      </w:pPr>
    </w:p>
    <w:p w:rsidR="00454B08" w:rsidRDefault="00454B08" w:rsidP="00454B08">
      <w:pPr>
        <w:spacing w:line="216" w:lineRule="auto"/>
        <w:jc w:val="both"/>
        <w:rPr>
          <w:rFonts w:ascii="Arial" w:hAnsi="Arial" w:cs="Arial"/>
          <w:sz w:val="22"/>
          <w:szCs w:val="22"/>
        </w:rPr>
      </w:pPr>
      <w:r>
        <w:rPr>
          <w:rFonts w:ascii="Arial" w:hAnsi="Arial" w:cs="Arial"/>
          <w:b/>
          <w:sz w:val="22"/>
          <w:szCs w:val="22"/>
        </w:rPr>
        <w:lastRenderedPageBreak/>
        <w:t>Anexo 1.</w:t>
      </w:r>
      <w:r>
        <w:rPr>
          <w:rFonts w:ascii="Arial" w:hAnsi="Arial" w:cs="Arial"/>
          <w:sz w:val="22"/>
          <w:szCs w:val="22"/>
        </w:rPr>
        <w:t xml:space="preserve"> </w:t>
      </w:r>
      <w:r w:rsidRPr="007153AF">
        <w:rPr>
          <w:rFonts w:ascii="Arial" w:hAnsi="Arial" w:cs="Arial"/>
          <w:sz w:val="22"/>
          <w:szCs w:val="22"/>
        </w:rPr>
        <w:t xml:space="preserve">Avance físico en porcentaje en el trimestre de </w:t>
      </w:r>
      <w:r w:rsidRPr="007153AF">
        <w:rPr>
          <w:rFonts w:ascii="Arial" w:hAnsi="Arial" w:cs="Arial"/>
          <w:b/>
          <w:sz w:val="22"/>
          <w:szCs w:val="22"/>
        </w:rPr>
        <w:t>abril-junio</w:t>
      </w:r>
      <w:r w:rsidRPr="007153AF">
        <w:rPr>
          <w:rFonts w:ascii="Arial" w:hAnsi="Arial" w:cs="Arial"/>
          <w:sz w:val="22"/>
          <w:szCs w:val="22"/>
        </w:rPr>
        <w:t xml:space="preserve"> y periodo </w:t>
      </w:r>
      <w:r w:rsidRPr="007153AF">
        <w:rPr>
          <w:rFonts w:ascii="Arial" w:hAnsi="Arial" w:cs="Arial"/>
          <w:b/>
          <w:sz w:val="22"/>
          <w:szCs w:val="22"/>
        </w:rPr>
        <w:t>enero-junio</w:t>
      </w:r>
      <w:r w:rsidRPr="007153AF">
        <w:rPr>
          <w:rFonts w:ascii="Arial" w:hAnsi="Arial" w:cs="Arial"/>
          <w:sz w:val="22"/>
          <w:szCs w:val="22"/>
        </w:rPr>
        <w:t xml:space="preserve"> de 201</w:t>
      </w:r>
      <w:r w:rsidR="00155676">
        <w:rPr>
          <w:rFonts w:ascii="Arial" w:hAnsi="Arial" w:cs="Arial"/>
          <w:sz w:val="22"/>
          <w:szCs w:val="22"/>
        </w:rPr>
        <w:t>9</w:t>
      </w:r>
      <w:r w:rsidRPr="007153AF">
        <w:rPr>
          <w:rFonts w:ascii="Arial" w:hAnsi="Arial" w:cs="Arial"/>
          <w:sz w:val="22"/>
          <w:szCs w:val="22"/>
        </w:rPr>
        <w:t>, según Resultado y total Institución</w:t>
      </w:r>
      <w:r>
        <w:rPr>
          <w:rFonts w:ascii="Arial" w:hAnsi="Arial" w:cs="Arial"/>
          <w:sz w:val="22"/>
          <w:szCs w:val="22"/>
        </w:rPr>
        <w:t>.</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3"/>
        <w:gridCol w:w="5633"/>
        <w:gridCol w:w="1701"/>
        <w:gridCol w:w="1842"/>
      </w:tblGrid>
      <w:tr w:rsidR="00454B08" w:rsidTr="00F16BD3">
        <w:trPr>
          <w:cantSplit/>
          <w:trHeight w:val="467"/>
        </w:trPr>
        <w:tc>
          <w:tcPr>
            <w:tcW w:w="463" w:type="dxa"/>
            <w:vMerge w:val="restart"/>
            <w:tcBorders>
              <w:top w:val="double" w:sz="4" w:space="0" w:color="auto"/>
              <w:left w:val="double" w:sz="4" w:space="0" w:color="auto"/>
              <w:bottom w:val="single" w:sz="6" w:space="0" w:color="auto"/>
              <w:right w:val="single" w:sz="6" w:space="0" w:color="auto"/>
            </w:tcBorders>
            <w:vAlign w:val="center"/>
          </w:tcPr>
          <w:p w:rsidR="00454B08" w:rsidRPr="004F4A31" w:rsidRDefault="00454B08" w:rsidP="007C6DA1">
            <w:pPr>
              <w:pStyle w:val="Ttulo1"/>
              <w:spacing w:line="216" w:lineRule="auto"/>
              <w:jc w:val="left"/>
              <w:rPr>
                <w:rFonts w:cs="Arial"/>
                <w:sz w:val="20"/>
                <w:szCs w:val="20"/>
              </w:rPr>
            </w:pPr>
            <w:r w:rsidRPr="004F4A31">
              <w:rPr>
                <w:rFonts w:cs="Arial"/>
                <w:sz w:val="20"/>
                <w:szCs w:val="20"/>
              </w:rPr>
              <w:t>No.</w:t>
            </w:r>
          </w:p>
        </w:tc>
        <w:tc>
          <w:tcPr>
            <w:tcW w:w="5633" w:type="dxa"/>
            <w:vMerge w:val="restart"/>
            <w:tcBorders>
              <w:top w:val="double" w:sz="4" w:space="0" w:color="auto"/>
              <w:left w:val="single" w:sz="6" w:space="0" w:color="auto"/>
              <w:bottom w:val="single" w:sz="6" w:space="0" w:color="auto"/>
              <w:right w:val="single" w:sz="6" w:space="0" w:color="auto"/>
            </w:tcBorders>
            <w:vAlign w:val="center"/>
          </w:tcPr>
          <w:p w:rsidR="00454B08" w:rsidRPr="007F76AF" w:rsidRDefault="00454B08" w:rsidP="007C6DA1">
            <w:pPr>
              <w:pStyle w:val="Ttulo3"/>
              <w:spacing w:line="216" w:lineRule="auto"/>
              <w:ind w:left="360"/>
              <w:jc w:val="center"/>
              <w:rPr>
                <w:color w:val="000000" w:themeColor="text1"/>
              </w:rPr>
            </w:pPr>
            <w:r w:rsidRPr="007F76AF">
              <w:rPr>
                <w:color w:val="000000" w:themeColor="text1"/>
                <w:sz w:val="22"/>
                <w:szCs w:val="22"/>
              </w:rPr>
              <w:t>RESULTADO</w:t>
            </w:r>
          </w:p>
        </w:tc>
        <w:tc>
          <w:tcPr>
            <w:tcW w:w="1701" w:type="dxa"/>
            <w:tcBorders>
              <w:top w:val="double" w:sz="4" w:space="0" w:color="auto"/>
              <w:left w:val="single" w:sz="6" w:space="0" w:color="auto"/>
              <w:bottom w:val="single" w:sz="6" w:space="0" w:color="auto"/>
              <w:right w:val="double" w:sz="4" w:space="0" w:color="auto"/>
            </w:tcBorders>
            <w:vAlign w:val="center"/>
          </w:tcPr>
          <w:p w:rsidR="00454B08" w:rsidRDefault="00454B08" w:rsidP="007C6DA1">
            <w:pPr>
              <w:spacing w:line="216" w:lineRule="auto"/>
              <w:jc w:val="center"/>
              <w:rPr>
                <w:rFonts w:ascii="Arial" w:hAnsi="Arial" w:cs="Arial"/>
                <w:b/>
              </w:rPr>
            </w:pPr>
            <w:r>
              <w:rPr>
                <w:rFonts w:ascii="Arial" w:hAnsi="Arial" w:cs="Arial"/>
                <w:b/>
                <w:sz w:val="22"/>
                <w:szCs w:val="22"/>
              </w:rPr>
              <w:t>ABRIL-JUNIO</w:t>
            </w:r>
          </w:p>
        </w:tc>
        <w:tc>
          <w:tcPr>
            <w:tcW w:w="1842" w:type="dxa"/>
            <w:tcBorders>
              <w:top w:val="double" w:sz="4" w:space="0" w:color="auto"/>
              <w:left w:val="single" w:sz="6" w:space="0" w:color="auto"/>
              <w:bottom w:val="single" w:sz="6" w:space="0" w:color="auto"/>
              <w:right w:val="double" w:sz="4" w:space="0" w:color="auto"/>
            </w:tcBorders>
            <w:vAlign w:val="center"/>
          </w:tcPr>
          <w:p w:rsidR="00454B08" w:rsidRDefault="00454B08" w:rsidP="007C6DA1">
            <w:pPr>
              <w:spacing w:line="216" w:lineRule="auto"/>
              <w:jc w:val="center"/>
              <w:rPr>
                <w:rFonts w:ascii="Arial" w:hAnsi="Arial" w:cs="Arial"/>
                <w:b/>
              </w:rPr>
            </w:pPr>
            <w:r>
              <w:rPr>
                <w:rFonts w:ascii="Arial" w:hAnsi="Arial" w:cs="Arial"/>
                <w:b/>
                <w:sz w:val="22"/>
                <w:szCs w:val="22"/>
              </w:rPr>
              <w:t>ENERO-JUNIO</w:t>
            </w:r>
          </w:p>
        </w:tc>
      </w:tr>
      <w:tr w:rsidR="00454B08" w:rsidTr="00F16BD3">
        <w:trPr>
          <w:cantSplit/>
          <w:trHeight w:val="425"/>
        </w:trPr>
        <w:tc>
          <w:tcPr>
            <w:tcW w:w="463" w:type="dxa"/>
            <w:vMerge/>
            <w:tcBorders>
              <w:top w:val="single" w:sz="6" w:space="0" w:color="auto"/>
              <w:left w:val="double" w:sz="4" w:space="0" w:color="auto"/>
              <w:bottom w:val="double" w:sz="4" w:space="0" w:color="auto"/>
              <w:right w:val="single" w:sz="6" w:space="0" w:color="auto"/>
            </w:tcBorders>
          </w:tcPr>
          <w:p w:rsidR="00454B08" w:rsidRPr="004F4A31" w:rsidRDefault="00454B08" w:rsidP="007C6DA1">
            <w:pPr>
              <w:spacing w:line="216" w:lineRule="auto"/>
              <w:jc w:val="center"/>
              <w:rPr>
                <w:rFonts w:ascii="Arial" w:hAnsi="Arial" w:cs="Arial"/>
                <w:b/>
                <w:sz w:val="20"/>
                <w:szCs w:val="20"/>
              </w:rPr>
            </w:pPr>
          </w:p>
        </w:tc>
        <w:tc>
          <w:tcPr>
            <w:tcW w:w="5633" w:type="dxa"/>
            <w:vMerge/>
            <w:tcBorders>
              <w:top w:val="single" w:sz="6" w:space="0" w:color="auto"/>
              <w:left w:val="single" w:sz="6" w:space="0" w:color="auto"/>
              <w:bottom w:val="double" w:sz="4" w:space="0" w:color="auto"/>
              <w:right w:val="single" w:sz="6" w:space="0" w:color="auto"/>
            </w:tcBorders>
          </w:tcPr>
          <w:p w:rsidR="00454B08" w:rsidRDefault="00454B08" w:rsidP="007C6DA1">
            <w:pPr>
              <w:spacing w:line="216" w:lineRule="auto"/>
              <w:jc w:val="center"/>
              <w:rPr>
                <w:rFonts w:ascii="Arial" w:hAnsi="Arial" w:cs="Arial"/>
              </w:rPr>
            </w:pPr>
          </w:p>
        </w:tc>
        <w:tc>
          <w:tcPr>
            <w:tcW w:w="3543" w:type="dxa"/>
            <w:gridSpan w:val="2"/>
            <w:tcBorders>
              <w:top w:val="single" w:sz="6" w:space="0" w:color="auto"/>
              <w:left w:val="single" w:sz="6" w:space="0" w:color="auto"/>
              <w:bottom w:val="double" w:sz="4" w:space="0" w:color="auto"/>
              <w:right w:val="double" w:sz="4" w:space="0" w:color="auto"/>
            </w:tcBorders>
            <w:vAlign w:val="center"/>
          </w:tcPr>
          <w:p w:rsidR="00454B08" w:rsidRDefault="00454B08" w:rsidP="007C6DA1">
            <w:pPr>
              <w:spacing w:line="216" w:lineRule="auto"/>
              <w:jc w:val="center"/>
              <w:rPr>
                <w:rFonts w:ascii="Arial" w:hAnsi="Arial" w:cs="Arial"/>
                <w:b/>
              </w:rPr>
            </w:pPr>
            <w:r>
              <w:rPr>
                <w:rFonts w:ascii="Arial" w:hAnsi="Arial" w:cs="Arial"/>
                <w:b/>
                <w:sz w:val="22"/>
                <w:szCs w:val="22"/>
              </w:rPr>
              <w:t>AVANCE FISICO (%)</w:t>
            </w:r>
          </w:p>
        </w:tc>
      </w:tr>
      <w:tr w:rsidR="00155676" w:rsidTr="00F16BD3">
        <w:trPr>
          <w:cantSplit/>
          <w:trHeight w:val="379"/>
        </w:trPr>
        <w:tc>
          <w:tcPr>
            <w:tcW w:w="463" w:type="dxa"/>
            <w:tcBorders>
              <w:top w:val="double" w:sz="4" w:space="0" w:color="auto"/>
              <w:left w:val="double" w:sz="4" w:space="0" w:color="auto"/>
              <w:bottom w:val="single" w:sz="4" w:space="0" w:color="auto"/>
              <w:right w:val="single" w:sz="4" w:space="0" w:color="auto"/>
            </w:tcBorders>
            <w:vAlign w:val="center"/>
          </w:tcPr>
          <w:p w:rsidR="00155676" w:rsidRPr="00A847C3" w:rsidRDefault="00155676" w:rsidP="007C6DA1">
            <w:pPr>
              <w:spacing w:line="216" w:lineRule="auto"/>
              <w:jc w:val="center"/>
              <w:rPr>
                <w:rFonts w:ascii="Arial" w:hAnsi="Arial" w:cs="Arial"/>
                <w:bCs/>
                <w:sz w:val="20"/>
                <w:szCs w:val="20"/>
              </w:rPr>
            </w:pPr>
            <w:r w:rsidRPr="00A847C3">
              <w:rPr>
                <w:rFonts w:ascii="Arial" w:hAnsi="Arial" w:cs="Arial"/>
                <w:bCs/>
                <w:sz w:val="20"/>
                <w:szCs w:val="20"/>
              </w:rPr>
              <w:t>1</w:t>
            </w:r>
          </w:p>
        </w:tc>
        <w:tc>
          <w:tcPr>
            <w:tcW w:w="5633" w:type="dxa"/>
            <w:tcBorders>
              <w:top w:val="double" w:sz="4" w:space="0" w:color="auto"/>
              <w:left w:val="single" w:sz="4" w:space="0" w:color="auto"/>
              <w:bottom w:val="single" w:sz="4" w:space="0" w:color="auto"/>
              <w:right w:val="single" w:sz="4" w:space="0" w:color="auto"/>
            </w:tcBorders>
            <w:vAlign w:val="center"/>
          </w:tcPr>
          <w:p w:rsidR="00155676" w:rsidRPr="00A847C3" w:rsidRDefault="00155676" w:rsidP="005006A5">
            <w:pPr>
              <w:tabs>
                <w:tab w:val="left" w:pos="196"/>
              </w:tabs>
              <w:spacing w:line="216" w:lineRule="auto"/>
              <w:jc w:val="both"/>
              <w:rPr>
                <w:rFonts w:ascii="Arial" w:hAnsi="Arial" w:cs="Arial"/>
                <w:b/>
              </w:rPr>
            </w:pPr>
            <w:r w:rsidRPr="00A847C3">
              <w:rPr>
                <w:rFonts w:ascii="Arial" w:hAnsi="Arial" w:cs="Arial"/>
                <w:b/>
                <w:sz w:val="20"/>
                <w:szCs w:val="20"/>
              </w:rPr>
              <w:t>Gestión y seguimiento del presupuesto institucional</w:t>
            </w:r>
          </w:p>
        </w:tc>
        <w:tc>
          <w:tcPr>
            <w:tcW w:w="1701" w:type="dxa"/>
            <w:tcBorders>
              <w:top w:val="double" w:sz="4" w:space="0" w:color="auto"/>
              <w:left w:val="single" w:sz="4" w:space="0" w:color="auto"/>
              <w:bottom w:val="single" w:sz="4" w:space="0" w:color="auto"/>
              <w:right w:val="double" w:sz="4" w:space="0" w:color="auto"/>
            </w:tcBorders>
            <w:vAlign w:val="center"/>
          </w:tcPr>
          <w:p w:rsidR="00F16BD3" w:rsidRPr="007153AF" w:rsidRDefault="00F16BD3" w:rsidP="00F16BD3">
            <w:pPr>
              <w:spacing w:line="216" w:lineRule="auto"/>
              <w:jc w:val="center"/>
              <w:rPr>
                <w:rFonts w:ascii="Arial" w:hAnsi="Arial" w:cs="Arial"/>
                <w:bCs/>
              </w:rPr>
            </w:pPr>
            <w:r>
              <w:rPr>
                <w:rFonts w:ascii="Arial" w:hAnsi="Arial" w:cs="Arial"/>
                <w:bCs/>
              </w:rPr>
              <w:t>97.6</w:t>
            </w:r>
          </w:p>
        </w:tc>
        <w:tc>
          <w:tcPr>
            <w:tcW w:w="1842" w:type="dxa"/>
            <w:tcBorders>
              <w:top w:val="double" w:sz="4" w:space="0" w:color="auto"/>
              <w:left w:val="single" w:sz="4" w:space="0" w:color="auto"/>
              <w:bottom w:val="single" w:sz="4" w:space="0" w:color="auto"/>
              <w:right w:val="double" w:sz="4" w:space="0" w:color="auto"/>
            </w:tcBorders>
            <w:vAlign w:val="center"/>
          </w:tcPr>
          <w:p w:rsidR="00155676" w:rsidRPr="007153AF" w:rsidRDefault="00155676" w:rsidP="007C6DA1">
            <w:pPr>
              <w:spacing w:line="216" w:lineRule="auto"/>
              <w:jc w:val="center"/>
              <w:rPr>
                <w:rFonts w:ascii="Arial" w:hAnsi="Arial" w:cs="Arial"/>
                <w:bCs/>
              </w:rPr>
            </w:pPr>
            <w:r>
              <w:rPr>
                <w:rFonts w:ascii="Arial" w:hAnsi="Arial" w:cs="Arial"/>
                <w:bCs/>
              </w:rPr>
              <w:t>1</w:t>
            </w:r>
            <w:r w:rsidRPr="007153AF">
              <w:rPr>
                <w:rFonts w:ascii="Arial" w:hAnsi="Arial" w:cs="Arial"/>
                <w:bCs/>
              </w:rPr>
              <w:t>0</w:t>
            </w:r>
            <w:r>
              <w:rPr>
                <w:rFonts w:ascii="Arial" w:hAnsi="Arial" w:cs="Arial"/>
                <w:bCs/>
              </w:rPr>
              <w:t>0</w:t>
            </w:r>
          </w:p>
        </w:tc>
      </w:tr>
      <w:tr w:rsidR="00155676" w:rsidTr="00F16BD3">
        <w:trPr>
          <w:cantSplit/>
          <w:trHeight w:val="351"/>
        </w:trPr>
        <w:tc>
          <w:tcPr>
            <w:tcW w:w="463" w:type="dxa"/>
            <w:tcBorders>
              <w:top w:val="single" w:sz="4" w:space="0" w:color="auto"/>
              <w:left w:val="double" w:sz="4" w:space="0" w:color="auto"/>
              <w:bottom w:val="single" w:sz="4" w:space="0" w:color="auto"/>
              <w:right w:val="single" w:sz="4" w:space="0" w:color="auto"/>
            </w:tcBorders>
            <w:vAlign w:val="center"/>
          </w:tcPr>
          <w:p w:rsidR="00155676" w:rsidRPr="00A847C3" w:rsidRDefault="00155676" w:rsidP="007C6DA1">
            <w:pPr>
              <w:spacing w:line="216" w:lineRule="auto"/>
              <w:jc w:val="center"/>
              <w:rPr>
                <w:rFonts w:ascii="Arial" w:hAnsi="Arial" w:cs="Arial"/>
                <w:sz w:val="20"/>
                <w:szCs w:val="20"/>
              </w:rPr>
            </w:pPr>
            <w:r w:rsidRPr="00A847C3">
              <w:rPr>
                <w:rFonts w:ascii="Arial" w:hAnsi="Arial" w:cs="Arial"/>
                <w:sz w:val="20"/>
                <w:szCs w:val="20"/>
              </w:rPr>
              <w:t>2</w:t>
            </w:r>
          </w:p>
        </w:tc>
        <w:tc>
          <w:tcPr>
            <w:tcW w:w="5633" w:type="dxa"/>
            <w:tcBorders>
              <w:top w:val="single" w:sz="4" w:space="0" w:color="auto"/>
              <w:left w:val="single" w:sz="4" w:space="0" w:color="auto"/>
              <w:bottom w:val="single" w:sz="4" w:space="0" w:color="auto"/>
              <w:right w:val="single" w:sz="4" w:space="0" w:color="auto"/>
            </w:tcBorders>
            <w:vAlign w:val="center"/>
          </w:tcPr>
          <w:p w:rsidR="00155676" w:rsidRPr="00A847C3" w:rsidRDefault="00155676" w:rsidP="00362595">
            <w:pPr>
              <w:spacing w:line="216" w:lineRule="auto"/>
              <w:ind w:firstLine="34"/>
              <w:jc w:val="both"/>
              <w:rPr>
                <w:rFonts w:ascii="Arial" w:hAnsi="Arial" w:cs="Arial"/>
                <w:b/>
              </w:rPr>
            </w:pPr>
            <w:r w:rsidRPr="00A847C3">
              <w:rPr>
                <w:rFonts w:ascii="Arial" w:hAnsi="Arial" w:cs="Arial"/>
                <w:b/>
                <w:sz w:val="20"/>
                <w:szCs w:val="20"/>
              </w:rPr>
              <w:t>Registro de obligaciones por pagar</w:t>
            </w:r>
          </w:p>
        </w:tc>
        <w:tc>
          <w:tcPr>
            <w:tcW w:w="1701" w:type="dxa"/>
            <w:tcBorders>
              <w:top w:val="single" w:sz="4" w:space="0" w:color="auto"/>
              <w:left w:val="single" w:sz="4" w:space="0" w:color="auto"/>
              <w:bottom w:val="single" w:sz="4" w:space="0" w:color="auto"/>
              <w:right w:val="double" w:sz="4" w:space="0" w:color="auto"/>
            </w:tcBorders>
            <w:vAlign w:val="center"/>
          </w:tcPr>
          <w:p w:rsidR="00155676" w:rsidRPr="007153AF" w:rsidRDefault="00155676" w:rsidP="007C6DA1">
            <w:pPr>
              <w:spacing w:line="216" w:lineRule="auto"/>
              <w:jc w:val="center"/>
              <w:rPr>
                <w:rFonts w:ascii="Arial" w:hAnsi="Arial" w:cs="Arial"/>
                <w:bCs/>
              </w:rPr>
            </w:pPr>
            <w:r w:rsidRPr="007153AF">
              <w:rPr>
                <w:rFonts w:ascii="Arial" w:hAnsi="Arial" w:cs="Arial"/>
                <w:bCs/>
              </w:rPr>
              <w:t>100</w:t>
            </w:r>
          </w:p>
        </w:tc>
        <w:tc>
          <w:tcPr>
            <w:tcW w:w="1842" w:type="dxa"/>
            <w:tcBorders>
              <w:top w:val="single" w:sz="4" w:space="0" w:color="auto"/>
              <w:left w:val="single" w:sz="4" w:space="0" w:color="auto"/>
              <w:bottom w:val="single" w:sz="4" w:space="0" w:color="auto"/>
              <w:right w:val="double" w:sz="4" w:space="0" w:color="auto"/>
            </w:tcBorders>
            <w:vAlign w:val="center"/>
          </w:tcPr>
          <w:p w:rsidR="00155676" w:rsidRPr="007153AF" w:rsidRDefault="00155676" w:rsidP="00155676">
            <w:pPr>
              <w:spacing w:line="216" w:lineRule="auto"/>
              <w:jc w:val="center"/>
              <w:rPr>
                <w:rFonts w:ascii="Arial" w:hAnsi="Arial" w:cs="Arial"/>
                <w:bCs/>
              </w:rPr>
            </w:pPr>
            <w:r w:rsidRPr="007153AF">
              <w:rPr>
                <w:rFonts w:ascii="Arial" w:hAnsi="Arial" w:cs="Arial"/>
                <w:bCs/>
              </w:rPr>
              <w:t>100</w:t>
            </w:r>
          </w:p>
        </w:tc>
      </w:tr>
      <w:tr w:rsidR="00155676" w:rsidTr="00F16BD3">
        <w:trPr>
          <w:cantSplit/>
          <w:trHeight w:val="351"/>
        </w:trPr>
        <w:tc>
          <w:tcPr>
            <w:tcW w:w="463" w:type="dxa"/>
            <w:tcBorders>
              <w:top w:val="single" w:sz="4" w:space="0" w:color="auto"/>
              <w:left w:val="double" w:sz="4" w:space="0" w:color="auto"/>
              <w:bottom w:val="single" w:sz="4" w:space="0" w:color="auto"/>
              <w:right w:val="single" w:sz="4" w:space="0" w:color="auto"/>
            </w:tcBorders>
            <w:vAlign w:val="center"/>
          </w:tcPr>
          <w:p w:rsidR="00155676" w:rsidRPr="00A847C3" w:rsidRDefault="00155676" w:rsidP="007C6DA1">
            <w:pPr>
              <w:spacing w:line="216" w:lineRule="auto"/>
              <w:jc w:val="center"/>
              <w:rPr>
                <w:rFonts w:ascii="Arial" w:hAnsi="Arial" w:cs="Arial"/>
                <w:sz w:val="20"/>
                <w:szCs w:val="20"/>
              </w:rPr>
            </w:pPr>
            <w:r w:rsidRPr="00A847C3">
              <w:rPr>
                <w:rFonts w:ascii="Arial" w:hAnsi="Arial" w:cs="Arial"/>
                <w:sz w:val="20"/>
                <w:szCs w:val="20"/>
              </w:rPr>
              <w:t>3</w:t>
            </w:r>
          </w:p>
        </w:tc>
        <w:tc>
          <w:tcPr>
            <w:tcW w:w="5633" w:type="dxa"/>
            <w:tcBorders>
              <w:top w:val="single" w:sz="4" w:space="0" w:color="auto"/>
              <w:left w:val="single" w:sz="4" w:space="0" w:color="auto"/>
              <w:bottom w:val="single" w:sz="4" w:space="0" w:color="auto"/>
              <w:right w:val="single" w:sz="4" w:space="0" w:color="auto"/>
            </w:tcBorders>
            <w:vAlign w:val="center"/>
          </w:tcPr>
          <w:p w:rsidR="00155676" w:rsidRPr="00A847C3" w:rsidRDefault="00155676" w:rsidP="008E3CA3">
            <w:pPr>
              <w:spacing w:line="216" w:lineRule="auto"/>
              <w:ind w:firstLine="34"/>
              <w:jc w:val="both"/>
              <w:rPr>
                <w:rFonts w:ascii="Arial" w:hAnsi="Arial" w:cs="Arial"/>
                <w:b/>
              </w:rPr>
            </w:pPr>
            <w:r w:rsidRPr="00A847C3">
              <w:rPr>
                <w:rFonts w:ascii="Arial" w:hAnsi="Arial" w:cs="Arial"/>
                <w:b/>
                <w:sz w:val="20"/>
                <w:szCs w:val="20"/>
              </w:rPr>
              <w:t>Validación, contabilización de hechos económicos y generación de estados financieros</w:t>
            </w:r>
          </w:p>
        </w:tc>
        <w:tc>
          <w:tcPr>
            <w:tcW w:w="1701" w:type="dxa"/>
            <w:tcBorders>
              <w:top w:val="single" w:sz="4" w:space="0" w:color="auto"/>
              <w:left w:val="single" w:sz="4" w:space="0" w:color="auto"/>
              <w:bottom w:val="single" w:sz="4" w:space="0" w:color="auto"/>
              <w:right w:val="double" w:sz="4" w:space="0" w:color="auto"/>
            </w:tcBorders>
            <w:vAlign w:val="center"/>
          </w:tcPr>
          <w:p w:rsidR="00155676" w:rsidRPr="007153AF" w:rsidRDefault="00155676" w:rsidP="007C6DA1">
            <w:pPr>
              <w:spacing w:line="216" w:lineRule="auto"/>
              <w:jc w:val="center"/>
              <w:rPr>
                <w:rFonts w:ascii="Arial" w:hAnsi="Arial" w:cs="Arial"/>
                <w:bCs/>
              </w:rPr>
            </w:pPr>
            <w:r w:rsidRPr="007153AF">
              <w:rPr>
                <w:rFonts w:ascii="Arial" w:hAnsi="Arial" w:cs="Arial"/>
                <w:bCs/>
              </w:rPr>
              <w:t>100</w:t>
            </w:r>
          </w:p>
        </w:tc>
        <w:tc>
          <w:tcPr>
            <w:tcW w:w="1842" w:type="dxa"/>
            <w:tcBorders>
              <w:top w:val="single" w:sz="4" w:space="0" w:color="auto"/>
              <w:left w:val="single" w:sz="4" w:space="0" w:color="auto"/>
              <w:bottom w:val="single" w:sz="4" w:space="0" w:color="auto"/>
              <w:right w:val="double" w:sz="4" w:space="0" w:color="auto"/>
            </w:tcBorders>
            <w:vAlign w:val="center"/>
          </w:tcPr>
          <w:p w:rsidR="00155676" w:rsidRPr="007153AF" w:rsidRDefault="00155676" w:rsidP="007C6DA1">
            <w:pPr>
              <w:spacing w:line="216" w:lineRule="auto"/>
              <w:jc w:val="center"/>
              <w:rPr>
                <w:rFonts w:ascii="Arial" w:hAnsi="Arial" w:cs="Arial"/>
                <w:bCs/>
              </w:rPr>
            </w:pPr>
            <w:r w:rsidRPr="007153AF">
              <w:rPr>
                <w:rFonts w:ascii="Arial" w:hAnsi="Arial" w:cs="Arial"/>
                <w:bCs/>
              </w:rPr>
              <w:t>100</w:t>
            </w:r>
          </w:p>
        </w:tc>
      </w:tr>
      <w:tr w:rsidR="00F16BD3" w:rsidRPr="00F16BD3" w:rsidTr="00F16BD3">
        <w:trPr>
          <w:cantSplit/>
          <w:trHeight w:val="327"/>
        </w:trPr>
        <w:tc>
          <w:tcPr>
            <w:tcW w:w="6096" w:type="dxa"/>
            <w:gridSpan w:val="2"/>
            <w:tcBorders>
              <w:top w:val="double" w:sz="4" w:space="0" w:color="auto"/>
              <w:left w:val="double" w:sz="4" w:space="0" w:color="auto"/>
              <w:bottom w:val="double" w:sz="4" w:space="0" w:color="auto"/>
              <w:right w:val="single" w:sz="6" w:space="0" w:color="auto"/>
            </w:tcBorders>
            <w:vAlign w:val="center"/>
          </w:tcPr>
          <w:p w:rsidR="00F16BD3" w:rsidRDefault="00F16BD3" w:rsidP="007C6DA1">
            <w:pPr>
              <w:pStyle w:val="Ttulo4"/>
              <w:spacing w:line="216" w:lineRule="auto"/>
              <w:rPr>
                <w:sz w:val="22"/>
              </w:rPr>
            </w:pPr>
            <w:r>
              <w:rPr>
                <w:sz w:val="22"/>
                <w:szCs w:val="22"/>
              </w:rPr>
              <w:t>TOTAL OFICINA</w:t>
            </w:r>
          </w:p>
        </w:tc>
        <w:tc>
          <w:tcPr>
            <w:tcW w:w="1701" w:type="dxa"/>
            <w:tcBorders>
              <w:top w:val="double" w:sz="4" w:space="0" w:color="auto"/>
              <w:left w:val="single" w:sz="6" w:space="0" w:color="auto"/>
              <w:bottom w:val="double" w:sz="4" w:space="0" w:color="auto"/>
              <w:right w:val="double" w:sz="4" w:space="0" w:color="auto"/>
            </w:tcBorders>
            <w:vAlign w:val="center"/>
          </w:tcPr>
          <w:p w:rsidR="00F16BD3" w:rsidRPr="00F16BD3" w:rsidRDefault="00F16BD3" w:rsidP="007C6DA1">
            <w:pPr>
              <w:spacing w:line="216" w:lineRule="auto"/>
              <w:jc w:val="center"/>
              <w:rPr>
                <w:rFonts w:ascii="Arial" w:hAnsi="Arial" w:cs="Arial"/>
                <w:b/>
                <w:bCs/>
              </w:rPr>
            </w:pPr>
            <w:r>
              <w:rPr>
                <w:rFonts w:ascii="Arial" w:hAnsi="Arial" w:cs="Arial"/>
                <w:b/>
                <w:bCs/>
              </w:rPr>
              <w:t>99.3</w:t>
            </w:r>
          </w:p>
        </w:tc>
        <w:tc>
          <w:tcPr>
            <w:tcW w:w="1842" w:type="dxa"/>
            <w:tcBorders>
              <w:top w:val="double" w:sz="4" w:space="0" w:color="auto"/>
              <w:left w:val="single" w:sz="6" w:space="0" w:color="auto"/>
              <w:bottom w:val="double" w:sz="4" w:space="0" w:color="auto"/>
              <w:right w:val="double" w:sz="4" w:space="0" w:color="auto"/>
            </w:tcBorders>
            <w:vAlign w:val="center"/>
          </w:tcPr>
          <w:p w:rsidR="00F16BD3" w:rsidRPr="00F16BD3" w:rsidRDefault="00F16BD3" w:rsidP="007C6DA1">
            <w:pPr>
              <w:spacing w:line="216" w:lineRule="auto"/>
              <w:jc w:val="center"/>
              <w:rPr>
                <w:rFonts w:ascii="Arial" w:hAnsi="Arial" w:cs="Arial"/>
                <w:b/>
                <w:bCs/>
              </w:rPr>
            </w:pPr>
            <w:r w:rsidRPr="00F16BD3">
              <w:rPr>
                <w:rFonts w:ascii="Arial" w:hAnsi="Arial" w:cs="Arial"/>
                <w:b/>
                <w:bCs/>
              </w:rPr>
              <w:t>100</w:t>
            </w:r>
          </w:p>
        </w:tc>
      </w:tr>
    </w:tbl>
    <w:p w:rsidR="00454B08" w:rsidRDefault="00454B08" w:rsidP="00454B08">
      <w:pPr>
        <w:spacing w:line="216" w:lineRule="auto"/>
        <w:ind w:left="1410" w:hanging="1410"/>
        <w:jc w:val="both"/>
        <w:rPr>
          <w:rFonts w:ascii="Arial" w:hAnsi="Arial" w:cs="Arial"/>
          <w:sz w:val="22"/>
          <w:szCs w:val="22"/>
        </w:rPr>
      </w:pPr>
      <w:r>
        <w:rPr>
          <w:rFonts w:ascii="Arial" w:hAnsi="Arial" w:cs="Arial"/>
          <w:b/>
          <w:sz w:val="22"/>
          <w:szCs w:val="22"/>
        </w:rPr>
        <w:t>FUENTE:  OFI.</w:t>
      </w:r>
      <w:r>
        <w:rPr>
          <w:rFonts w:ascii="Arial" w:hAnsi="Arial" w:cs="Arial"/>
          <w:sz w:val="22"/>
          <w:szCs w:val="22"/>
        </w:rPr>
        <w:t xml:space="preserve"> Informe de avance físico del 2do.Trimestre y periodo enero-junio de 201</w:t>
      </w:r>
      <w:r w:rsidR="00F16BD3">
        <w:rPr>
          <w:rFonts w:ascii="Arial" w:hAnsi="Arial" w:cs="Arial"/>
          <w:sz w:val="22"/>
          <w:szCs w:val="22"/>
        </w:rPr>
        <w:t>9</w:t>
      </w:r>
      <w:r>
        <w:rPr>
          <w:rFonts w:ascii="Arial" w:hAnsi="Arial" w:cs="Arial"/>
          <w:sz w:val="22"/>
          <w:szCs w:val="22"/>
        </w:rPr>
        <w:t xml:space="preserve">. </w:t>
      </w:r>
    </w:p>
    <w:p w:rsidR="00454B08" w:rsidRDefault="00454B08" w:rsidP="00454B08">
      <w:pPr>
        <w:spacing w:line="216" w:lineRule="auto"/>
        <w:ind w:left="1410" w:hanging="1410"/>
        <w:jc w:val="both"/>
        <w:rPr>
          <w:rFonts w:ascii="Arial" w:hAnsi="Arial" w:cs="Arial"/>
          <w:sz w:val="22"/>
          <w:szCs w:val="22"/>
        </w:rPr>
      </w:pPr>
    </w:p>
    <w:p w:rsidR="007502B1" w:rsidRDefault="007502B1"/>
    <w:sectPr w:rsidR="007502B1" w:rsidSect="001E62B4">
      <w:footerReference w:type="default" r:id="rId8"/>
      <w:pgSz w:w="12242" w:h="15842" w:code="1"/>
      <w:pgMar w:top="1418"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442" w:rsidRDefault="00B80442" w:rsidP="00024A81">
      <w:r>
        <w:separator/>
      </w:r>
    </w:p>
  </w:endnote>
  <w:endnote w:type="continuationSeparator" w:id="1">
    <w:p w:rsidR="00B80442" w:rsidRDefault="00B80442" w:rsidP="00024A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3445" w:rsidRDefault="00D47770">
    <w:pPr>
      <w:pStyle w:val="Piedepgina"/>
      <w:jc w:val="right"/>
      <w:rPr>
        <w:b/>
        <w:bCs/>
        <w:i/>
        <w:iCs/>
        <w:sz w:val="18"/>
      </w:rPr>
    </w:pPr>
    <w:r>
      <w:rPr>
        <w:b/>
        <w:bCs/>
        <w:i/>
        <w:iCs/>
        <w:sz w:val="18"/>
      </w:rPr>
      <w:t xml:space="preserve">Página </w:t>
    </w:r>
    <w:r w:rsidR="006D7C93">
      <w:rPr>
        <w:rStyle w:val="Nmerodepgina"/>
        <w:b/>
        <w:bCs/>
        <w:i/>
        <w:iCs/>
        <w:sz w:val="18"/>
      </w:rPr>
      <w:fldChar w:fldCharType="begin"/>
    </w:r>
    <w:r>
      <w:rPr>
        <w:rStyle w:val="Nmerodepgina"/>
        <w:b/>
        <w:bCs/>
        <w:i/>
        <w:iCs/>
        <w:sz w:val="18"/>
      </w:rPr>
      <w:instrText xml:space="preserve"> PAGE </w:instrText>
    </w:r>
    <w:r w:rsidR="006D7C93">
      <w:rPr>
        <w:rStyle w:val="Nmerodepgina"/>
        <w:b/>
        <w:bCs/>
        <w:i/>
        <w:iCs/>
        <w:sz w:val="18"/>
      </w:rPr>
      <w:fldChar w:fldCharType="separate"/>
    </w:r>
    <w:r w:rsidR="00C42E99">
      <w:rPr>
        <w:rStyle w:val="Nmerodepgina"/>
        <w:b/>
        <w:bCs/>
        <w:i/>
        <w:iCs/>
        <w:noProof/>
        <w:sz w:val="18"/>
      </w:rPr>
      <w:t>3</w:t>
    </w:r>
    <w:r w:rsidR="006D7C93">
      <w:rPr>
        <w:rStyle w:val="Nmerodepgina"/>
        <w:b/>
        <w:bCs/>
        <w:i/>
        <w:iCs/>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442" w:rsidRDefault="00B80442" w:rsidP="00024A81">
      <w:r>
        <w:separator/>
      </w:r>
    </w:p>
  </w:footnote>
  <w:footnote w:type="continuationSeparator" w:id="1">
    <w:p w:rsidR="00B80442" w:rsidRDefault="00B80442" w:rsidP="00024A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454B08"/>
    <w:rsid w:val="00024A81"/>
    <w:rsid w:val="001444E4"/>
    <w:rsid w:val="00155676"/>
    <w:rsid w:val="00210EEF"/>
    <w:rsid w:val="002501AC"/>
    <w:rsid w:val="002627CC"/>
    <w:rsid w:val="00280676"/>
    <w:rsid w:val="002A5895"/>
    <w:rsid w:val="002B392F"/>
    <w:rsid w:val="002B51EF"/>
    <w:rsid w:val="002E6C39"/>
    <w:rsid w:val="003376F4"/>
    <w:rsid w:val="003D6150"/>
    <w:rsid w:val="00454B08"/>
    <w:rsid w:val="004A2DB7"/>
    <w:rsid w:val="004C49CE"/>
    <w:rsid w:val="00504ECA"/>
    <w:rsid w:val="00531C3D"/>
    <w:rsid w:val="00533E64"/>
    <w:rsid w:val="006D7C93"/>
    <w:rsid w:val="007502B1"/>
    <w:rsid w:val="00913EF8"/>
    <w:rsid w:val="009B674E"/>
    <w:rsid w:val="00A12842"/>
    <w:rsid w:val="00A141CC"/>
    <w:rsid w:val="00A22619"/>
    <w:rsid w:val="00B80442"/>
    <w:rsid w:val="00C42E99"/>
    <w:rsid w:val="00CF0BB4"/>
    <w:rsid w:val="00D22279"/>
    <w:rsid w:val="00D47770"/>
    <w:rsid w:val="00D76B61"/>
    <w:rsid w:val="00EF4926"/>
    <w:rsid w:val="00F16BD3"/>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B08"/>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54B08"/>
    <w:pPr>
      <w:keepNext/>
      <w:jc w:val="center"/>
      <w:outlineLvl w:val="0"/>
    </w:pPr>
    <w:rPr>
      <w:rFonts w:ascii="Arial" w:hAnsi="Arial"/>
      <w:b/>
      <w:bCs/>
    </w:rPr>
  </w:style>
  <w:style w:type="paragraph" w:styleId="Ttulo3">
    <w:name w:val="heading 3"/>
    <w:basedOn w:val="Normal"/>
    <w:next w:val="Normal"/>
    <w:link w:val="Ttulo3Car"/>
    <w:uiPriority w:val="9"/>
    <w:semiHidden/>
    <w:unhideWhenUsed/>
    <w:qFormat/>
    <w:rsid w:val="00454B08"/>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qFormat/>
    <w:rsid w:val="00454B08"/>
    <w:pPr>
      <w:keepNext/>
      <w:jc w:val="center"/>
      <w:outlineLvl w:val="3"/>
    </w:pPr>
    <w:rPr>
      <w:rFonts w:ascii="Arial" w:hAnsi="Arial" w:cs="Arial"/>
      <w:b/>
      <w:bCs/>
      <w:sz w:val="20"/>
    </w:rPr>
  </w:style>
  <w:style w:type="paragraph" w:styleId="Ttulo5">
    <w:name w:val="heading 5"/>
    <w:basedOn w:val="Normal"/>
    <w:next w:val="Normal"/>
    <w:link w:val="Ttulo5Car"/>
    <w:qFormat/>
    <w:rsid w:val="00454B08"/>
    <w:pPr>
      <w:keepNext/>
      <w:jc w:val="center"/>
      <w:outlineLvl w:val="4"/>
    </w:pPr>
    <w:rPr>
      <w:rFonts w:ascii="Arial" w:hAnsi="Arial" w:cs="Arial"/>
      <w:b/>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54B08"/>
    <w:rPr>
      <w:rFonts w:ascii="Arial" w:eastAsia="Times New Roman" w:hAnsi="Arial" w:cs="Times New Roman"/>
      <w:b/>
      <w:bCs/>
      <w:sz w:val="24"/>
      <w:szCs w:val="24"/>
      <w:lang w:val="es-ES" w:eastAsia="es-ES"/>
    </w:rPr>
  </w:style>
  <w:style w:type="character" w:customStyle="1" w:styleId="Ttulo3Car">
    <w:name w:val="Título 3 Car"/>
    <w:basedOn w:val="Fuentedeprrafopredeter"/>
    <w:link w:val="Ttulo3"/>
    <w:uiPriority w:val="9"/>
    <w:semiHidden/>
    <w:rsid w:val="00454B08"/>
    <w:rPr>
      <w:rFonts w:asciiTheme="majorHAnsi" w:eastAsiaTheme="majorEastAsia" w:hAnsiTheme="majorHAnsi" w:cstheme="majorBidi"/>
      <w:b/>
      <w:bCs/>
      <w:color w:val="4F81BD" w:themeColor="accent1"/>
      <w:sz w:val="24"/>
      <w:szCs w:val="24"/>
      <w:lang w:val="es-ES" w:eastAsia="es-ES"/>
    </w:rPr>
  </w:style>
  <w:style w:type="character" w:customStyle="1" w:styleId="Ttulo4Car">
    <w:name w:val="Título 4 Car"/>
    <w:basedOn w:val="Fuentedeprrafopredeter"/>
    <w:link w:val="Ttulo4"/>
    <w:rsid w:val="00454B08"/>
    <w:rPr>
      <w:rFonts w:ascii="Arial" w:eastAsia="Times New Roman" w:hAnsi="Arial" w:cs="Arial"/>
      <w:b/>
      <w:bCs/>
      <w:sz w:val="20"/>
      <w:szCs w:val="24"/>
      <w:lang w:val="es-ES" w:eastAsia="es-ES"/>
    </w:rPr>
  </w:style>
  <w:style w:type="character" w:customStyle="1" w:styleId="Ttulo5Car">
    <w:name w:val="Título 5 Car"/>
    <w:basedOn w:val="Fuentedeprrafopredeter"/>
    <w:link w:val="Ttulo5"/>
    <w:rsid w:val="00454B08"/>
    <w:rPr>
      <w:rFonts w:ascii="Arial" w:eastAsia="Times New Roman" w:hAnsi="Arial" w:cs="Arial"/>
      <w:b/>
      <w:szCs w:val="24"/>
      <w:lang w:val="es-ES" w:eastAsia="es-ES"/>
    </w:rPr>
  </w:style>
  <w:style w:type="paragraph" w:styleId="Ttulo">
    <w:name w:val="Title"/>
    <w:basedOn w:val="Normal"/>
    <w:link w:val="TtuloCar"/>
    <w:qFormat/>
    <w:rsid w:val="00454B08"/>
    <w:pPr>
      <w:jc w:val="center"/>
    </w:pPr>
    <w:rPr>
      <w:rFonts w:ascii="Arial" w:hAnsi="Arial"/>
      <w:b/>
      <w:bCs/>
    </w:rPr>
  </w:style>
  <w:style w:type="character" w:customStyle="1" w:styleId="TtuloCar">
    <w:name w:val="Título Car"/>
    <w:basedOn w:val="Fuentedeprrafopredeter"/>
    <w:link w:val="Ttulo"/>
    <w:rsid w:val="00454B08"/>
    <w:rPr>
      <w:rFonts w:ascii="Arial" w:eastAsia="Times New Roman" w:hAnsi="Arial" w:cs="Times New Roman"/>
      <w:b/>
      <w:bCs/>
      <w:sz w:val="24"/>
      <w:szCs w:val="24"/>
      <w:lang w:val="es-ES" w:eastAsia="es-ES"/>
    </w:rPr>
  </w:style>
  <w:style w:type="paragraph" w:styleId="Textoindependiente3">
    <w:name w:val="Body Text 3"/>
    <w:basedOn w:val="Normal"/>
    <w:link w:val="Textoindependiente3Car"/>
    <w:rsid w:val="00454B08"/>
    <w:pPr>
      <w:jc w:val="both"/>
    </w:pPr>
    <w:rPr>
      <w:rFonts w:ascii="Arial" w:hAnsi="Arial"/>
      <w:sz w:val="22"/>
      <w:szCs w:val="22"/>
    </w:rPr>
  </w:style>
  <w:style w:type="character" w:customStyle="1" w:styleId="Textoindependiente3Car">
    <w:name w:val="Texto independiente 3 Car"/>
    <w:basedOn w:val="Fuentedeprrafopredeter"/>
    <w:link w:val="Textoindependiente3"/>
    <w:rsid w:val="00454B08"/>
    <w:rPr>
      <w:rFonts w:ascii="Arial" w:eastAsia="Times New Roman" w:hAnsi="Arial" w:cs="Times New Roman"/>
      <w:lang w:val="es-ES" w:eastAsia="es-ES"/>
    </w:rPr>
  </w:style>
  <w:style w:type="paragraph" w:styleId="Subttulo">
    <w:name w:val="Subtitle"/>
    <w:basedOn w:val="Normal"/>
    <w:link w:val="SubttuloCar"/>
    <w:qFormat/>
    <w:rsid w:val="00454B08"/>
    <w:pPr>
      <w:jc w:val="center"/>
    </w:pPr>
    <w:rPr>
      <w:rFonts w:ascii="Arial" w:hAnsi="Arial"/>
      <w:b/>
      <w:szCs w:val="20"/>
      <w:lang w:val="es-MX"/>
    </w:rPr>
  </w:style>
  <w:style w:type="character" w:customStyle="1" w:styleId="SubttuloCar">
    <w:name w:val="Subtítulo Car"/>
    <w:basedOn w:val="Fuentedeprrafopredeter"/>
    <w:link w:val="Subttulo"/>
    <w:rsid w:val="00454B08"/>
    <w:rPr>
      <w:rFonts w:ascii="Arial" w:eastAsia="Times New Roman" w:hAnsi="Arial" w:cs="Times New Roman"/>
      <w:b/>
      <w:sz w:val="24"/>
      <w:szCs w:val="20"/>
      <w:lang w:val="es-MX" w:eastAsia="es-ES"/>
    </w:rPr>
  </w:style>
  <w:style w:type="paragraph" w:styleId="Piedepgina">
    <w:name w:val="footer"/>
    <w:basedOn w:val="Normal"/>
    <w:link w:val="PiedepginaCar"/>
    <w:rsid w:val="00454B08"/>
    <w:pPr>
      <w:tabs>
        <w:tab w:val="center" w:pos="4252"/>
        <w:tab w:val="right" w:pos="8504"/>
      </w:tabs>
    </w:pPr>
  </w:style>
  <w:style w:type="character" w:customStyle="1" w:styleId="PiedepginaCar">
    <w:name w:val="Pie de página Car"/>
    <w:basedOn w:val="Fuentedeprrafopredeter"/>
    <w:link w:val="Piedepgina"/>
    <w:rsid w:val="00454B08"/>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454B08"/>
  </w:style>
  <w:style w:type="paragraph" w:styleId="Textoindependiente">
    <w:name w:val="Body Text"/>
    <w:basedOn w:val="Normal"/>
    <w:link w:val="TextoindependienteCar"/>
    <w:rsid w:val="00454B08"/>
    <w:pPr>
      <w:jc w:val="both"/>
    </w:pPr>
  </w:style>
  <w:style w:type="character" w:customStyle="1" w:styleId="TextoindependienteCar">
    <w:name w:val="Texto independiente Car"/>
    <w:basedOn w:val="Fuentedeprrafopredeter"/>
    <w:link w:val="Textoindependiente"/>
    <w:rsid w:val="00454B08"/>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rsid w:val="00454B08"/>
    <w:pPr>
      <w:ind w:left="705" w:hanging="705"/>
      <w:jc w:val="both"/>
    </w:pPr>
    <w:rPr>
      <w:rFonts w:ascii="Arial" w:hAnsi="Arial" w:cs="Arial"/>
      <w:b/>
      <w:bCs/>
      <w:sz w:val="22"/>
      <w:szCs w:val="22"/>
    </w:rPr>
  </w:style>
  <w:style w:type="character" w:customStyle="1" w:styleId="Sangra3detindependienteCar">
    <w:name w:val="Sangría 3 de t. independiente Car"/>
    <w:basedOn w:val="Fuentedeprrafopredeter"/>
    <w:link w:val="Sangra3detindependiente"/>
    <w:rsid w:val="00454B08"/>
    <w:rPr>
      <w:rFonts w:ascii="Arial" w:eastAsia="Times New Roman" w:hAnsi="Arial" w:cs="Arial"/>
      <w:b/>
      <w:bCs/>
      <w:lang w:val="es-ES" w:eastAsia="es-ES"/>
    </w:rPr>
  </w:style>
  <w:style w:type="paragraph" w:styleId="Textodeglobo">
    <w:name w:val="Balloon Text"/>
    <w:basedOn w:val="Normal"/>
    <w:link w:val="TextodegloboCar"/>
    <w:uiPriority w:val="99"/>
    <w:semiHidden/>
    <w:unhideWhenUsed/>
    <w:rsid w:val="00454B08"/>
    <w:rPr>
      <w:rFonts w:ascii="Tahoma" w:hAnsi="Tahoma" w:cs="Tahoma"/>
      <w:sz w:val="16"/>
      <w:szCs w:val="16"/>
    </w:rPr>
  </w:style>
  <w:style w:type="character" w:customStyle="1" w:styleId="TextodegloboCar">
    <w:name w:val="Texto de globo Car"/>
    <w:basedOn w:val="Fuentedeprrafopredeter"/>
    <w:link w:val="Textodeglobo"/>
    <w:uiPriority w:val="99"/>
    <w:semiHidden/>
    <w:rsid w:val="00454B08"/>
    <w:rPr>
      <w:rFonts w:ascii="Tahoma" w:eastAsia="Times New Roman" w:hAnsi="Tahoma" w:cs="Tahoma"/>
      <w:sz w:val="16"/>
      <w:szCs w:val="16"/>
      <w:lang w:val="es-ES" w:eastAsia="es-ES"/>
    </w:rPr>
  </w:style>
  <w:style w:type="paragraph" w:styleId="Sinespaciado">
    <w:name w:val="No Spacing"/>
    <w:uiPriority w:val="1"/>
    <w:qFormat/>
    <w:rsid w:val="002B392F"/>
    <w:pPr>
      <w:spacing w:after="0"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chart" Target="charts/chart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8734211621605533E-2"/>
          <c:y val="5.5792030145609538E-2"/>
          <c:w val="0.90126578837839444"/>
          <c:h val="0.80519480519481001"/>
        </c:manualLayout>
      </c:layout>
      <c:barChart>
        <c:barDir val="col"/>
        <c:grouping val="clustered"/>
        <c:ser>
          <c:idx val="1"/>
          <c:order val="0"/>
          <c:tx>
            <c:strRef>
              <c:f>Sheet1!$A$2</c:f>
              <c:strCache>
                <c:ptCount val="1"/>
                <c:pt idx="0">
                  <c:v>AVANCE FISICO</c:v>
                </c:pt>
              </c:strCache>
            </c:strRef>
          </c:tx>
          <c:spPr>
            <a:solidFill>
              <a:srgbClr val="C00000"/>
            </a:solidFill>
            <a:ln w="12700">
              <a:solidFill>
                <a:srgbClr val="000000"/>
              </a:solidFill>
              <a:prstDash val="solid"/>
            </a:ln>
          </c:spPr>
          <c:dPt>
            <c:idx val="3"/>
            <c:spPr>
              <a:solidFill>
                <a:schemeClr val="accent6">
                  <a:lumMod val="60000"/>
                  <a:lumOff val="40000"/>
                </a:schemeClr>
              </a:solidFill>
              <a:ln w="12700">
                <a:solidFill>
                  <a:srgbClr val="000000"/>
                </a:solidFill>
                <a:prstDash val="solid"/>
              </a:ln>
            </c:spPr>
          </c:dPt>
          <c:dLbls>
            <c:dLbl>
              <c:idx val="0"/>
              <c:showVal val="1"/>
            </c:dLbl>
            <c:dLbl>
              <c:idx val="1"/>
              <c:showVal val="1"/>
            </c:dLbl>
            <c:dLbl>
              <c:idx val="2"/>
              <c:showVal val="1"/>
            </c:dLbl>
            <c:dLbl>
              <c:idx val="3"/>
              <c:spPr>
                <a:noFill/>
              </c:spPr>
              <c:txPr>
                <a:bodyPr/>
                <a:lstStyle/>
                <a:p>
                  <a:pPr>
                    <a:defRPr/>
                  </a:pPr>
                  <a:endParaRPr lang="es-SV"/>
                </a:p>
              </c:txPr>
              <c:showVal val="1"/>
            </c:dLbl>
            <c:delete val="1"/>
          </c:dLbls>
          <c:cat>
            <c:strRef>
              <c:f>Sheet1!$B$1:$E$1</c:f>
              <c:strCache>
                <c:ptCount val="4"/>
                <c:pt idx="0">
                  <c:v>1</c:v>
                </c:pt>
                <c:pt idx="1">
                  <c:v>2</c:v>
                </c:pt>
                <c:pt idx="2">
                  <c:v>3</c:v>
                </c:pt>
                <c:pt idx="3">
                  <c:v>Total Institución</c:v>
                </c:pt>
              </c:strCache>
            </c:strRef>
          </c:cat>
          <c:val>
            <c:numRef>
              <c:f>Sheet1!$B$2:$E$2</c:f>
              <c:numCache>
                <c:formatCode>0.0</c:formatCode>
                <c:ptCount val="4"/>
                <c:pt idx="0">
                  <c:v>97.61999999999999</c:v>
                </c:pt>
                <c:pt idx="1">
                  <c:v>100</c:v>
                </c:pt>
                <c:pt idx="2">
                  <c:v>100</c:v>
                </c:pt>
                <c:pt idx="3">
                  <c:v>99.28</c:v>
                </c:pt>
              </c:numCache>
            </c:numRef>
          </c:val>
        </c:ser>
        <c:dLbls>
          <c:showVal val="1"/>
        </c:dLbls>
        <c:gapWidth val="171"/>
        <c:axId val="38758656"/>
        <c:axId val="52138752"/>
      </c:barChart>
      <c:catAx>
        <c:axId val="38758656"/>
        <c:scaling>
          <c:orientation val="minMax"/>
        </c:scaling>
        <c:axPos val="b"/>
        <c:numFmt formatCode="General" sourceLinked="1"/>
        <c:tickLblPos val="nextTo"/>
        <c:spPr>
          <a:ln w="3175">
            <a:solidFill>
              <a:srgbClr val="000000"/>
            </a:solidFill>
            <a:prstDash val="solid"/>
          </a:ln>
        </c:spPr>
        <c:txPr>
          <a:bodyPr rot="0" vert="horz"/>
          <a:lstStyle/>
          <a:p>
            <a:pPr>
              <a:defRPr sz="600" b="1" i="0" u="none" strike="noStrike" baseline="0">
                <a:solidFill>
                  <a:srgbClr val="000000"/>
                </a:solidFill>
                <a:latin typeface="Arial"/>
                <a:ea typeface="Arial"/>
                <a:cs typeface="Arial"/>
              </a:defRPr>
            </a:pPr>
            <a:endParaRPr lang="es-SV"/>
          </a:p>
        </c:txPr>
        <c:crossAx val="52138752"/>
        <c:crosses val="autoZero"/>
        <c:auto val="1"/>
        <c:lblAlgn val="ctr"/>
        <c:lblOffset val="100"/>
        <c:tickLblSkip val="1"/>
        <c:tickMarkSkip val="1"/>
      </c:catAx>
      <c:valAx>
        <c:axId val="52138752"/>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1.3683289588801401E-2"/>
              <c:y val="0.14790472767667526"/>
            </c:manualLayout>
          </c:layout>
          <c:spPr>
            <a:noFill/>
            <a:ln w="3175">
              <a:noFill/>
              <a:prstDash val="solid"/>
            </a:ln>
          </c:spPr>
        </c:title>
        <c:numFmt formatCode="0;[Red]0" sourceLinked="0"/>
        <c:tickLblPos val="nextTo"/>
        <c:spPr>
          <a:ln w="3175">
            <a:solidFill>
              <a:srgbClr val="000000"/>
            </a:solidFill>
            <a:prstDash val="solid"/>
          </a:ln>
        </c:spPr>
        <c:txPr>
          <a:bodyPr rot="0" vert="horz" anchor="ctr" anchorCtr="0"/>
          <a:lstStyle/>
          <a:p>
            <a:pPr>
              <a:defRPr sz="800" b="1" i="0" u="none" strike="noStrike" baseline="0">
                <a:solidFill>
                  <a:srgbClr val="000000"/>
                </a:solidFill>
                <a:latin typeface="Arial"/>
                <a:ea typeface="Arial"/>
                <a:cs typeface="Arial"/>
              </a:defRPr>
            </a:pPr>
            <a:endParaRPr lang="es-SV"/>
          </a:p>
        </c:txPr>
        <c:crossAx val="38758656"/>
        <c:crosses val="autoZero"/>
        <c:crossBetween val="between"/>
        <c:majorUnit val="20"/>
      </c:valA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w="9525">
          <a:solidFill>
            <a:srgbClr val="808080"/>
          </a:solidFill>
          <a:prstDash val="solid"/>
        </a:ln>
      </c:spPr>
    </c:plotArea>
    <c:plotVisOnly val="1"/>
    <c:dispBlanksAs val="gap"/>
  </c:chart>
  <c:spPr>
    <a:ln w="12700">
      <a:solidFill>
        <a:srgbClr val="000000"/>
      </a:solidFill>
      <a:prstDash val="solid"/>
    </a:ln>
  </c:spPr>
  <c:txPr>
    <a:bodyPr/>
    <a:lstStyle/>
    <a:p>
      <a:pPr>
        <a:defRPr sz="1025" b="1" i="0" u="none" strike="noStrike" baseline="0">
          <a:solidFill>
            <a:srgbClr val="000000"/>
          </a:solidFill>
          <a:latin typeface="Arial"/>
          <a:ea typeface="Arial"/>
          <a:cs typeface="Arial"/>
        </a:defRPr>
      </a:pPr>
      <a:endParaRPr lang="es-S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8.6342229199372053E-2"/>
          <c:y val="6.7164179104477625E-2"/>
          <c:w val="0.91365777080062749"/>
          <c:h val="0.80223880597014929"/>
        </c:manualLayout>
      </c:layout>
      <c:barChart>
        <c:barDir val="col"/>
        <c:grouping val="clustered"/>
        <c:ser>
          <c:idx val="1"/>
          <c:order val="0"/>
          <c:tx>
            <c:strRef>
              <c:f>Sheet1!$A$2</c:f>
              <c:strCache>
                <c:ptCount val="1"/>
                <c:pt idx="0">
                  <c:v>AVANCE FISICO</c:v>
                </c:pt>
              </c:strCache>
            </c:strRef>
          </c:tx>
          <c:spPr>
            <a:solidFill>
              <a:srgbClr val="FF6600"/>
            </a:solidFill>
            <a:ln w="12700">
              <a:solidFill>
                <a:srgbClr val="000000"/>
              </a:solidFill>
              <a:prstDash val="solid"/>
            </a:ln>
          </c:spPr>
          <c:dPt>
            <c:idx val="3"/>
            <c:spPr>
              <a:solidFill>
                <a:schemeClr val="accent6">
                  <a:lumMod val="40000"/>
                  <a:lumOff val="60000"/>
                </a:schemeClr>
              </a:solidFill>
              <a:ln w="12700">
                <a:solidFill>
                  <a:srgbClr val="000000"/>
                </a:solidFill>
                <a:prstDash val="solid"/>
              </a:ln>
            </c:spPr>
          </c:dPt>
          <c:dLbls>
            <c:showVal val="1"/>
          </c:dLbls>
          <c:cat>
            <c:strRef>
              <c:f>Sheet1!$B$1:$E$1</c:f>
              <c:strCache>
                <c:ptCount val="4"/>
                <c:pt idx="0">
                  <c:v>1</c:v>
                </c:pt>
                <c:pt idx="1">
                  <c:v>2</c:v>
                </c:pt>
                <c:pt idx="2">
                  <c:v>3</c:v>
                </c:pt>
                <c:pt idx="3">
                  <c:v>Total Institución</c:v>
                </c:pt>
              </c:strCache>
            </c:strRef>
          </c:cat>
          <c:val>
            <c:numRef>
              <c:f>Sheet1!$B$2:$E$2</c:f>
              <c:numCache>
                <c:formatCode>0.0</c:formatCode>
                <c:ptCount val="4"/>
                <c:pt idx="0">
                  <c:v>100</c:v>
                </c:pt>
                <c:pt idx="1">
                  <c:v>100</c:v>
                </c:pt>
                <c:pt idx="2">
                  <c:v>100</c:v>
                </c:pt>
                <c:pt idx="3">
                  <c:v>100</c:v>
                </c:pt>
              </c:numCache>
            </c:numRef>
          </c:val>
        </c:ser>
        <c:dLbls>
          <c:showVal val="1"/>
        </c:dLbls>
        <c:axId val="74918912"/>
        <c:axId val="86614400"/>
      </c:barChart>
      <c:catAx>
        <c:axId val="74918912"/>
        <c:scaling>
          <c:orientation val="minMax"/>
        </c:scaling>
        <c:axPos val="b"/>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86614400"/>
        <c:crosses val="autoZero"/>
        <c:auto val="1"/>
        <c:lblAlgn val="ctr"/>
        <c:lblOffset val="100"/>
        <c:tickLblSkip val="1"/>
        <c:tickMarkSkip val="1"/>
      </c:catAx>
      <c:valAx>
        <c:axId val="86614400"/>
        <c:scaling>
          <c:orientation val="minMax"/>
          <c:max val="120"/>
          <c:min val="0"/>
        </c:scaling>
        <c:axPos val="l"/>
        <c:majorGridlines>
          <c:spPr>
            <a:ln w="3175">
              <a:solidFill>
                <a:srgbClr val="000000"/>
              </a:solidFill>
              <a:prstDash val="solid"/>
            </a:ln>
          </c:spPr>
        </c:majorGridlines>
        <c:title>
          <c:tx>
            <c:rich>
              <a:bodyPr rot="0" vert="wordArtVert"/>
              <a:lstStyle/>
              <a:p>
                <a:pPr algn="ctr">
                  <a:defRPr sz="800" b="1" i="0" u="none" strike="noStrike" baseline="0">
                    <a:solidFill>
                      <a:srgbClr val="000000"/>
                    </a:solidFill>
                    <a:latin typeface="Arial"/>
                    <a:ea typeface="Arial"/>
                    <a:cs typeface="Arial"/>
                  </a:defRPr>
                </a:pPr>
                <a:r>
                  <a:rPr lang="es-SV"/>
                  <a:t>PORCENTAJE</a:t>
                </a:r>
              </a:p>
            </c:rich>
          </c:tx>
          <c:layout>
            <c:manualLayout>
              <c:xMode val="edge"/>
              <c:yMode val="edge"/>
              <c:x val="7.8492935635793085E-3"/>
              <c:y val="0.19776119402985076"/>
            </c:manualLayout>
          </c:layout>
          <c:spPr>
            <a:solidFill>
              <a:srgbClr val="FFFFFF"/>
            </a:solidFill>
            <a:ln w="3175">
              <a:noFill/>
              <a:prstDash val="solid"/>
            </a:ln>
          </c:spPr>
        </c:title>
        <c:numFmt formatCode="0;[Red]0" sourceLinked="0"/>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s-SV"/>
          </a:p>
        </c:txPr>
        <c:crossAx val="74918912"/>
        <c:crosses val="autoZero"/>
        <c:crossBetween val="between"/>
        <c:majorUnit val="20"/>
      </c:valAx>
      <c:spPr>
        <a:solidFill>
          <a:srgbClr val="99CCFF"/>
        </a:solidFill>
        <a:ln w="12700">
          <a:solidFill>
            <a:srgbClr val="808080"/>
          </a:solidFill>
          <a:prstDash val="solid"/>
        </a:ln>
      </c:spPr>
    </c:plotArea>
    <c:plotVisOnly val="1"/>
    <c:dispBlanksAs val="gap"/>
  </c:chart>
  <c:spPr>
    <a:noFill/>
    <a:ln w="12700">
      <a:solidFill>
        <a:srgbClr val="000000"/>
      </a:solidFill>
      <a:prstDash val="solid"/>
    </a:ln>
  </c:spPr>
  <c:txPr>
    <a:bodyPr/>
    <a:lstStyle/>
    <a:p>
      <a:pPr>
        <a:defRPr sz="1175" b="1" i="0" u="none" strike="noStrike" baseline="0">
          <a:solidFill>
            <a:srgbClr val="000000"/>
          </a:solidFill>
          <a:latin typeface="Arial"/>
          <a:ea typeface="Arial"/>
          <a:cs typeface="Arial"/>
        </a:defRPr>
      </a:pPr>
      <a:endParaRPr lang="es-SV"/>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675</Words>
  <Characters>3714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aarteaga</dc:creator>
  <cp:lastModifiedBy>aarteaga</cp:lastModifiedBy>
  <cp:revision>4</cp:revision>
  <cp:lastPrinted>2019-08-12T16:06:00Z</cp:lastPrinted>
  <dcterms:created xsi:type="dcterms:W3CDTF">2019-08-12T15:46:00Z</dcterms:created>
  <dcterms:modified xsi:type="dcterms:W3CDTF">2019-08-12T16:06:00Z</dcterms:modified>
</cp:coreProperties>
</file>