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E53" w:rsidRPr="00556B29" w:rsidRDefault="00945E53" w:rsidP="00945E53">
      <w:pPr>
        <w:pStyle w:val="Ttulo"/>
        <w:spacing w:line="233" w:lineRule="auto"/>
        <w:ind w:right="-46"/>
        <w:rPr>
          <w:rFonts w:ascii="Arial" w:hAnsi="Arial" w:cs="Arial"/>
          <w:b/>
          <w:bCs/>
          <w:sz w:val="22"/>
          <w:szCs w:val="22"/>
        </w:rPr>
      </w:pPr>
      <w:r w:rsidRPr="00556B29">
        <w:rPr>
          <w:rFonts w:ascii="Arial" w:hAnsi="Arial" w:cs="Arial"/>
          <w:b/>
          <w:bCs/>
          <w:sz w:val="22"/>
          <w:szCs w:val="22"/>
        </w:rPr>
        <w:t>MINISTERIO DE AGRICULTURA Y GANADERIA</w:t>
      </w:r>
    </w:p>
    <w:p w:rsidR="00945E53" w:rsidRPr="00556B29" w:rsidRDefault="00945E53" w:rsidP="00945E53">
      <w:pPr>
        <w:pStyle w:val="Subttulo"/>
        <w:spacing w:line="233" w:lineRule="auto"/>
        <w:rPr>
          <w:rFonts w:ascii="Arial" w:hAnsi="Arial" w:cs="Arial"/>
          <w:sz w:val="22"/>
          <w:szCs w:val="22"/>
        </w:rPr>
      </w:pPr>
      <w:r w:rsidRPr="00556B29">
        <w:rPr>
          <w:rFonts w:ascii="Arial" w:hAnsi="Arial" w:cs="Arial"/>
          <w:sz w:val="22"/>
          <w:szCs w:val="22"/>
        </w:rPr>
        <w:t>OFICINA DE POLITICAS Y PLANIFICACION SECTORIAL</w:t>
      </w:r>
    </w:p>
    <w:p w:rsidR="00945E53" w:rsidRPr="00556B29" w:rsidRDefault="00945E53" w:rsidP="00945E53">
      <w:pPr>
        <w:pStyle w:val="Ttulo1"/>
        <w:spacing w:line="233" w:lineRule="auto"/>
        <w:rPr>
          <w:rFonts w:ascii="Arial" w:hAnsi="Arial" w:cs="Arial"/>
          <w:sz w:val="22"/>
          <w:szCs w:val="22"/>
        </w:rPr>
      </w:pPr>
      <w:r w:rsidRPr="00556B29">
        <w:rPr>
          <w:rFonts w:ascii="Arial" w:hAnsi="Arial" w:cs="Arial"/>
          <w:sz w:val="22"/>
          <w:szCs w:val="22"/>
        </w:rPr>
        <w:t>DIVISION DE SEGUIMIENTO Y EVALUACION</w:t>
      </w:r>
    </w:p>
    <w:p w:rsidR="00945E53" w:rsidRPr="00556B29" w:rsidRDefault="00945E53" w:rsidP="00945E53">
      <w:pPr>
        <w:spacing w:line="233" w:lineRule="auto"/>
        <w:rPr>
          <w:rFonts w:ascii="Arial" w:hAnsi="Arial" w:cs="Arial"/>
          <w:sz w:val="22"/>
          <w:szCs w:val="22"/>
        </w:rPr>
      </w:pPr>
    </w:p>
    <w:p w:rsidR="00945E53" w:rsidRPr="00556B29" w:rsidRDefault="00945E53" w:rsidP="00945E53">
      <w:pPr>
        <w:pStyle w:val="Sangradetextonormal"/>
        <w:spacing w:line="233" w:lineRule="auto"/>
      </w:pPr>
      <w:r w:rsidRPr="00556B29">
        <w:t>INFORME DE SEGUIMIENTO DEL AVANCE FISICO DEL POA 201</w:t>
      </w:r>
      <w:r>
        <w:t>9</w:t>
      </w:r>
    </w:p>
    <w:p w:rsidR="00945E53" w:rsidRPr="00556B29" w:rsidRDefault="00945E53" w:rsidP="00945E53">
      <w:pPr>
        <w:spacing w:line="233" w:lineRule="auto"/>
        <w:jc w:val="both"/>
        <w:rPr>
          <w:rFonts w:ascii="Arial" w:hAnsi="Arial" w:cs="Arial"/>
          <w:sz w:val="22"/>
          <w:szCs w:val="22"/>
        </w:rPr>
      </w:pPr>
    </w:p>
    <w:p w:rsidR="00945E53" w:rsidRDefault="00945E53" w:rsidP="00945E53">
      <w:pPr>
        <w:spacing w:line="233" w:lineRule="auto"/>
        <w:ind w:left="2160" w:hanging="2160"/>
        <w:jc w:val="both"/>
        <w:rPr>
          <w:rFonts w:ascii="Arial" w:hAnsi="Arial" w:cs="Arial"/>
          <w:b/>
          <w:bCs/>
          <w:sz w:val="22"/>
          <w:szCs w:val="22"/>
        </w:rPr>
      </w:pPr>
    </w:p>
    <w:p w:rsidR="00945E53" w:rsidRPr="00741DDB" w:rsidRDefault="00945E53" w:rsidP="00945E53">
      <w:pPr>
        <w:spacing w:line="233" w:lineRule="auto"/>
        <w:ind w:left="2160" w:hanging="2160"/>
        <w:jc w:val="both"/>
        <w:rPr>
          <w:rFonts w:ascii="Arial" w:hAnsi="Arial" w:cs="Arial"/>
          <w:b/>
          <w:bCs/>
          <w:sz w:val="22"/>
          <w:szCs w:val="22"/>
        </w:rPr>
      </w:pPr>
      <w:r w:rsidRPr="00556B29">
        <w:rPr>
          <w:rFonts w:ascii="Arial" w:hAnsi="Arial" w:cs="Arial"/>
          <w:b/>
          <w:bCs/>
          <w:sz w:val="22"/>
          <w:szCs w:val="22"/>
        </w:rPr>
        <w:t>INSTITUCION:</w:t>
      </w:r>
      <w:r w:rsidRPr="00556B29">
        <w:rPr>
          <w:rFonts w:ascii="Arial" w:hAnsi="Arial" w:cs="Arial"/>
          <w:b/>
          <w:bCs/>
          <w:sz w:val="22"/>
          <w:szCs w:val="22"/>
        </w:rPr>
        <w:tab/>
      </w:r>
      <w:r w:rsidRPr="000E602E">
        <w:rPr>
          <w:rFonts w:ascii="Arial" w:hAnsi="Arial" w:cs="Arial"/>
          <w:bCs/>
          <w:sz w:val="22"/>
          <w:szCs w:val="22"/>
        </w:rPr>
        <w:t xml:space="preserve">Dirección General de Sanidad Vegetal </w:t>
      </w:r>
      <w:r w:rsidRPr="000E602E">
        <w:rPr>
          <w:rFonts w:ascii="Arial" w:hAnsi="Arial" w:cs="Arial"/>
          <w:sz w:val="22"/>
          <w:szCs w:val="22"/>
        </w:rPr>
        <w:t>(DGSV)</w:t>
      </w:r>
    </w:p>
    <w:p w:rsidR="00945E53" w:rsidRPr="00556B29" w:rsidRDefault="00945E53" w:rsidP="00945E53">
      <w:pPr>
        <w:spacing w:line="233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945E53" w:rsidRPr="00945E53" w:rsidRDefault="00945E53" w:rsidP="00945E53">
      <w:pPr>
        <w:spacing w:line="233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6B29">
        <w:rPr>
          <w:rFonts w:ascii="Arial" w:hAnsi="Arial" w:cs="Arial"/>
          <w:b/>
          <w:bCs/>
          <w:sz w:val="22"/>
          <w:szCs w:val="22"/>
        </w:rPr>
        <w:t>TRIMESTRE:</w:t>
      </w:r>
      <w:r w:rsidRPr="00556B29">
        <w:rPr>
          <w:rFonts w:ascii="Arial" w:hAnsi="Arial" w:cs="Arial"/>
          <w:b/>
          <w:bCs/>
          <w:sz w:val="22"/>
          <w:szCs w:val="22"/>
        </w:rPr>
        <w:tab/>
      </w:r>
      <w:r w:rsidRPr="00556B29">
        <w:rPr>
          <w:rFonts w:ascii="Arial" w:hAnsi="Arial" w:cs="Arial"/>
          <w:b/>
          <w:bCs/>
          <w:sz w:val="22"/>
          <w:szCs w:val="22"/>
        </w:rPr>
        <w:tab/>
      </w:r>
      <w:r w:rsidRPr="00945E53">
        <w:rPr>
          <w:rFonts w:ascii="Arial" w:hAnsi="Arial" w:cs="Arial"/>
          <w:bCs/>
          <w:sz w:val="22"/>
          <w:szCs w:val="22"/>
        </w:rPr>
        <w:t>abril</w:t>
      </w:r>
      <w:r w:rsidRPr="00945E53">
        <w:rPr>
          <w:rFonts w:ascii="Arial" w:hAnsi="Arial" w:cs="Arial"/>
          <w:color w:val="000000" w:themeColor="text1"/>
          <w:sz w:val="22"/>
          <w:szCs w:val="22"/>
        </w:rPr>
        <w:t>-junio</w:t>
      </w:r>
    </w:p>
    <w:p w:rsidR="00945E53" w:rsidRDefault="00945E53" w:rsidP="00945E53">
      <w:pPr>
        <w:spacing w:line="233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945E53" w:rsidRPr="00945E53" w:rsidRDefault="00945E53" w:rsidP="00945E53">
      <w:pPr>
        <w:spacing w:line="233" w:lineRule="auto"/>
        <w:jc w:val="both"/>
        <w:rPr>
          <w:rFonts w:ascii="Arial" w:hAnsi="Arial" w:cs="Arial"/>
          <w:bCs/>
          <w:sz w:val="22"/>
          <w:szCs w:val="22"/>
        </w:rPr>
      </w:pPr>
      <w:r w:rsidRPr="00945E53">
        <w:rPr>
          <w:rFonts w:ascii="Arial" w:hAnsi="Arial" w:cs="Arial"/>
          <w:b/>
          <w:bCs/>
          <w:sz w:val="22"/>
          <w:szCs w:val="22"/>
        </w:rPr>
        <w:t>PERIODO: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945E53">
        <w:rPr>
          <w:rFonts w:ascii="Arial" w:hAnsi="Arial" w:cs="Arial"/>
          <w:bCs/>
          <w:sz w:val="22"/>
          <w:szCs w:val="22"/>
        </w:rPr>
        <w:t>enero-junio</w:t>
      </w:r>
    </w:p>
    <w:p w:rsidR="00945E53" w:rsidRDefault="00945E53" w:rsidP="00945E53">
      <w:pPr>
        <w:spacing w:line="312" w:lineRule="auto"/>
        <w:jc w:val="both"/>
        <w:rPr>
          <w:rFonts w:ascii="Arial" w:hAnsi="Arial" w:cs="Arial"/>
          <w:b/>
          <w:bCs/>
          <w:sz w:val="22"/>
        </w:rPr>
      </w:pPr>
    </w:p>
    <w:p w:rsidR="00945E53" w:rsidRDefault="00945E53" w:rsidP="00945E53">
      <w:pPr>
        <w:spacing w:line="312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PRESENTACION</w:t>
      </w:r>
    </w:p>
    <w:p w:rsidR="00945E53" w:rsidRPr="00345F99" w:rsidRDefault="00945E53" w:rsidP="00945E53">
      <w:pPr>
        <w:pStyle w:val="Textoindependiente3"/>
        <w:spacing w:before="220" w:after="220"/>
        <w:rPr>
          <w:color w:val="000000" w:themeColor="text1"/>
        </w:rPr>
      </w:pPr>
      <w:r w:rsidRPr="004D6A02">
        <w:rPr>
          <w:color w:val="000000" w:themeColor="text1"/>
        </w:rPr>
        <w:t>El presente Informe de Seguimiento</w:t>
      </w:r>
      <w:r w:rsidR="00711C23" w:rsidRPr="004D6A02">
        <w:rPr>
          <w:color w:val="000000" w:themeColor="text1"/>
        </w:rPr>
        <w:t xml:space="preserve"> a la ejecución del PAO 2019,</w:t>
      </w:r>
      <w:r w:rsidRPr="004D6A02">
        <w:rPr>
          <w:color w:val="000000" w:themeColor="text1"/>
        </w:rPr>
        <w:t xml:space="preserve"> contiene el avance físico</w:t>
      </w:r>
      <w:r w:rsidRPr="00345F99">
        <w:rPr>
          <w:color w:val="000000" w:themeColor="text1"/>
        </w:rPr>
        <w:t xml:space="preserve"> obtenido por la DGSV en el </w:t>
      </w:r>
      <w:r>
        <w:rPr>
          <w:color w:val="000000" w:themeColor="text1"/>
        </w:rPr>
        <w:t>segundo</w:t>
      </w:r>
      <w:r w:rsidRPr="00345F99">
        <w:rPr>
          <w:color w:val="000000" w:themeColor="text1"/>
        </w:rPr>
        <w:t xml:space="preserve"> trimestre de 201</w:t>
      </w:r>
      <w:r>
        <w:rPr>
          <w:color w:val="000000" w:themeColor="text1"/>
        </w:rPr>
        <w:t>9</w:t>
      </w:r>
      <w:r w:rsidRPr="00345F99">
        <w:rPr>
          <w:color w:val="000000" w:themeColor="text1"/>
        </w:rPr>
        <w:t>. La valoración del desempeño físico está hecha sobre la base de la siguiente tabla: cumplimiento menor al 60.0% = Deficiente; de 60.0% a 79.9% = Regular; de 80.0% a 89.9% = Bueno; y, de 90.0 a 100.0% = Muy Bueno.</w:t>
      </w:r>
    </w:p>
    <w:p w:rsidR="00945E53" w:rsidRPr="00345F99" w:rsidRDefault="00945E53" w:rsidP="00945E53">
      <w:pPr>
        <w:pStyle w:val="Textoindependiente3"/>
        <w:spacing w:before="220" w:after="220"/>
        <w:rPr>
          <w:color w:val="000000" w:themeColor="text1"/>
        </w:rPr>
      </w:pPr>
      <w:r w:rsidRPr="00345F99">
        <w:rPr>
          <w:color w:val="000000" w:themeColor="text1"/>
        </w:rPr>
        <w:t>Es oportuno solicitar a la DGSV que, en futuros informes, y cuando corresponda, explique las causas por las cuales una meta presenta niveles de ejecución menores al 90.0% de lo planificado.</w:t>
      </w:r>
    </w:p>
    <w:p w:rsidR="00945E53" w:rsidRPr="00556B29" w:rsidRDefault="00945E53" w:rsidP="00945E53">
      <w:pPr>
        <w:pStyle w:val="Textoindependiente3"/>
        <w:tabs>
          <w:tab w:val="left" w:pos="-426"/>
          <w:tab w:val="left" w:pos="709"/>
        </w:tabs>
        <w:spacing w:line="264" w:lineRule="auto"/>
        <w:rPr>
          <w:b/>
          <w:bCs w:val="0"/>
          <w:color w:val="auto"/>
        </w:rPr>
      </w:pPr>
      <w:r w:rsidRPr="00556B29">
        <w:rPr>
          <w:b/>
          <w:bCs w:val="0"/>
          <w:color w:val="auto"/>
        </w:rPr>
        <w:t>I.</w:t>
      </w:r>
      <w:r w:rsidRPr="00556B29">
        <w:rPr>
          <w:bCs w:val="0"/>
          <w:color w:val="auto"/>
        </w:rPr>
        <w:tab/>
      </w:r>
      <w:r w:rsidRPr="00556B29">
        <w:rPr>
          <w:b/>
          <w:bCs w:val="0"/>
          <w:color w:val="auto"/>
        </w:rPr>
        <w:t>AVANCE FISICO ALCANZADO EN EL</w:t>
      </w:r>
      <w:r>
        <w:rPr>
          <w:b/>
          <w:bCs w:val="0"/>
          <w:color w:val="auto"/>
        </w:rPr>
        <w:t xml:space="preserve"> SEGUNDO TRIMESTRE </w:t>
      </w:r>
      <w:r w:rsidRPr="00556B29">
        <w:rPr>
          <w:b/>
          <w:bCs w:val="0"/>
          <w:color w:val="auto"/>
        </w:rPr>
        <w:t>DE 201</w:t>
      </w:r>
      <w:r>
        <w:rPr>
          <w:b/>
          <w:bCs w:val="0"/>
          <w:color w:val="auto"/>
        </w:rPr>
        <w:t>9</w:t>
      </w:r>
    </w:p>
    <w:p w:rsidR="00945E53" w:rsidRPr="00556B29" w:rsidRDefault="00945E53" w:rsidP="00945E53">
      <w:pPr>
        <w:pStyle w:val="Textoindependiente3"/>
        <w:spacing w:line="264" w:lineRule="auto"/>
        <w:rPr>
          <w:b/>
          <w:bCs w:val="0"/>
          <w:color w:val="auto"/>
        </w:rPr>
      </w:pPr>
    </w:p>
    <w:p w:rsidR="00945E53" w:rsidRDefault="00945E53" w:rsidP="00945E53">
      <w:pPr>
        <w:pStyle w:val="Textoindependiente3"/>
        <w:spacing w:line="264" w:lineRule="auto"/>
        <w:rPr>
          <w:bCs w:val="0"/>
          <w:color w:val="auto"/>
        </w:rPr>
      </w:pPr>
      <w:r w:rsidRPr="00A0520F">
        <w:rPr>
          <w:bCs w:val="0"/>
          <w:color w:val="auto"/>
        </w:rPr>
        <w:t xml:space="preserve">En el trimestre </w:t>
      </w:r>
      <w:r>
        <w:rPr>
          <w:bCs w:val="0"/>
          <w:color w:val="auto"/>
        </w:rPr>
        <w:t>comprendido de abril a junio</w:t>
      </w:r>
      <w:r w:rsidRPr="00A0520F">
        <w:rPr>
          <w:bCs w:val="0"/>
          <w:color w:val="auto"/>
        </w:rPr>
        <w:t xml:space="preserve">, la </w:t>
      </w:r>
      <w:r w:rsidRPr="001A1969">
        <w:rPr>
          <w:b/>
          <w:bCs w:val="0"/>
          <w:color w:val="auto"/>
        </w:rPr>
        <w:t>DGSV</w:t>
      </w:r>
      <w:r w:rsidRPr="00A0520F">
        <w:rPr>
          <w:bCs w:val="0"/>
          <w:color w:val="auto"/>
        </w:rPr>
        <w:t xml:space="preserve"> logr</w:t>
      </w:r>
      <w:r>
        <w:rPr>
          <w:bCs w:val="0"/>
          <w:color w:val="auto"/>
        </w:rPr>
        <w:t>ó</w:t>
      </w:r>
      <w:r w:rsidRPr="00A0520F">
        <w:rPr>
          <w:bCs w:val="0"/>
          <w:color w:val="auto"/>
        </w:rPr>
        <w:t xml:space="preserve"> un avance físico</w:t>
      </w:r>
      <w:r>
        <w:rPr>
          <w:bCs w:val="0"/>
          <w:color w:val="auto"/>
        </w:rPr>
        <w:t xml:space="preserve"> de 97, </w:t>
      </w:r>
      <w:r w:rsidRPr="00A0520F">
        <w:rPr>
          <w:bCs w:val="0"/>
          <w:color w:val="auto"/>
        </w:rPr>
        <w:t>respecto a las metas planificadas a cumplir en dicho trimestre</w:t>
      </w:r>
      <w:r>
        <w:rPr>
          <w:bCs w:val="0"/>
          <w:color w:val="auto"/>
        </w:rPr>
        <w:t xml:space="preserve">, desempeño calificado como </w:t>
      </w:r>
      <w:r w:rsidRPr="00B87CB1">
        <w:rPr>
          <w:b/>
          <w:bCs w:val="0"/>
          <w:color w:val="auto"/>
        </w:rPr>
        <w:t>Muy</w:t>
      </w:r>
      <w:r>
        <w:rPr>
          <w:bCs w:val="0"/>
          <w:color w:val="auto"/>
        </w:rPr>
        <w:t xml:space="preserve"> </w:t>
      </w:r>
      <w:r w:rsidRPr="00A372C8">
        <w:rPr>
          <w:b/>
          <w:bCs w:val="0"/>
          <w:color w:val="auto"/>
        </w:rPr>
        <w:t>Bueno</w:t>
      </w:r>
      <w:r>
        <w:rPr>
          <w:bCs w:val="0"/>
          <w:color w:val="auto"/>
        </w:rPr>
        <w:t xml:space="preserve"> (ver Gráfico 1). </w:t>
      </w:r>
    </w:p>
    <w:p w:rsidR="00945E53" w:rsidRDefault="00945E53" w:rsidP="00945E53">
      <w:pPr>
        <w:pStyle w:val="Textoindependiente3"/>
        <w:rPr>
          <w:color w:val="000000" w:themeColor="text1"/>
        </w:rPr>
      </w:pPr>
    </w:p>
    <w:p w:rsidR="00945E53" w:rsidRPr="00363D93" w:rsidRDefault="00945E53" w:rsidP="00945E53">
      <w:pPr>
        <w:pStyle w:val="Textoindependiente3"/>
        <w:rPr>
          <w:color w:val="000000" w:themeColor="text1"/>
          <w:szCs w:val="24"/>
        </w:rPr>
      </w:pPr>
      <w:r w:rsidRPr="00097110">
        <w:rPr>
          <w:color w:val="000000" w:themeColor="text1"/>
        </w:rPr>
        <w:t>El cumplimiento</w:t>
      </w:r>
      <w:r>
        <w:rPr>
          <w:color w:val="000000" w:themeColor="text1"/>
        </w:rPr>
        <w:t xml:space="preserve"> total</w:t>
      </w:r>
      <w:r w:rsidRPr="00097110">
        <w:rPr>
          <w:color w:val="000000" w:themeColor="text1"/>
        </w:rPr>
        <w:t xml:space="preserve"> de Indicadores de Resultados, fue </w:t>
      </w:r>
      <w:r>
        <w:rPr>
          <w:color w:val="000000" w:themeColor="text1"/>
        </w:rPr>
        <w:t>de</w:t>
      </w:r>
      <w:r w:rsidRPr="00097110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  <w:r w:rsidRPr="000E6106">
        <w:rPr>
          <w:b/>
          <w:color w:val="000000" w:themeColor="text1"/>
          <w:szCs w:val="24"/>
        </w:rPr>
        <w:t>2</w:t>
      </w:r>
      <w:r w:rsidR="004C74F5">
        <w:rPr>
          <w:b/>
          <w:color w:val="000000" w:themeColor="text1"/>
          <w:szCs w:val="24"/>
        </w:rPr>
        <w:t>1</w:t>
      </w:r>
      <w:r>
        <w:rPr>
          <w:color w:val="000000" w:themeColor="text1"/>
          <w:szCs w:val="24"/>
        </w:rPr>
        <w:t xml:space="preserve"> </w:t>
      </w:r>
      <w:r w:rsidRPr="00097110">
        <w:rPr>
          <w:color w:val="000000" w:themeColor="text1"/>
          <w:szCs w:val="24"/>
        </w:rPr>
        <w:t xml:space="preserve">y </w:t>
      </w:r>
      <w:r w:rsidR="004C74F5" w:rsidRPr="004C74F5">
        <w:rPr>
          <w:b/>
          <w:color w:val="000000" w:themeColor="text1"/>
          <w:sz w:val="24"/>
          <w:szCs w:val="24"/>
        </w:rPr>
        <w:t>uno</w:t>
      </w:r>
      <w:r w:rsidR="004C74F5">
        <w:rPr>
          <w:color w:val="000000" w:themeColor="text1"/>
          <w:szCs w:val="24"/>
        </w:rPr>
        <w:t xml:space="preserve"> con in</w:t>
      </w:r>
      <w:r w:rsidRPr="00097110">
        <w:rPr>
          <w:color w:val="000000" w:themeColor="text1"/>
          <w:szCs w:val="24"/>
        </w:rPr>
        <w:t xml:space="preserve">cumplimiento </w:t>
      </w:r>
      <w:r w:rsidR="004C74F5">
        <w:rPr>
          <w:color w:val="000000" w:themeColor="text1"/>
          <w:szCs w:val="24"/>
        </w:rPr>
        <w:t>total.</w:t>
      </w:r>
      <w:r>
        <w:rPr>
          <w:color w:val="000000" w:themeColor="text1"/>
          <w:szCs w:val="24"/>
        </w:rPr>
        <w:t xml:space="preserve"> </w:t>
      </w:r>
    </w:p>
    <w:p w:rsidR="00945E53" w:rsidRDefault="00945E53" w:rsidP="00945E53">
      <w:pPr>
        <w:pStyle w:val="Textoindependiente3"/>
        <w:spacing w:line="264" w:lineRule="auto"/>
        <w:rPr>
          <w:b/>
          <w:bCs w:val="0"/>
          <w:color w:val="auto"/>
          <w:sz w:val="18"/>
          <w:szCs w:val="18"/>
        </w:rPr>
      </w:pPr>
    </w:p>
    <w:p w:rsidR="00945E53" w:rsidRPr="000C4D2A" w:rsidRDefault="00945E53" w:rsidP="00945E53">
      <w:pPr>
        <w:pStyle w:val="Textoindependiente3"/>
        <w:spacing w:line="264" w:lineRule="auto"/>
        <w:rPr>
          <w:bCs w:val="0"/>
          <w:color w:val="auto"/>
          <w:sz w:val="18"/>
          <w:szCs w:val="18"/>
        </w:rPr>
      </w:pPr>
      <w:r w:rsidRPr="000C4D2A">
        <w:rPr>
          <w:b/>
          <w:bCs w:val="0"/>
          <w:color w:val="auto"/>
          <w:sz w:val="18"/>
          <w:szCs w:val="18"/>
        </w:rPr>
        <w:t>Gráfico 1.</w:t>
      </w:r>
      <w:r>
        <w:rPr>
          <w:b/>
          <w:bCs w:val="0"/>
          <w:color w:val="auto"/>
          <w:sz w:val="18"/>
          <w:szCs w:val="18"/>
        </w:rPr>
        <w:t xml:space="preserve"> </w:t>
      </w:r>
      <w:r w:rsidRPr="000C4D2A">
        <w:rPr>
          <w:bCs w:val="0"/>
          <w:color w:val="auto"/>
          <w:sz w:val="18"/>
          <w:szCs w:val="18"/>
        </w:rPr>
        <w:t>Avance físico en porcentaje por R</w:t>
      </w:r>
      <w:r>
        <w:rPr>
          <w:bCs w:val="0"/>
          <w:color w:val="auto"/>
          <w:sz w:val="18"/>
          <w:szCs w:val="18"/>
        </w:rPr>
        <w:t xml:space="preserve">esultados </w:t>
      </w:r>
      <w:r w:rsidRPr="000C4D2A">
        <w:rPr>
          <w:bCs w:val="0"/>
          <w:color w:val="auto"/>
          <w:sz w:val="18"/>
          <w:szCs w:val="18"/>
        </w:rPr>
        <w:t>y Total Instituci</w:t>
      </w:r>
      <w:r>
        <w:rPr>
          <w:bCs w:val="0"/>
          <w:color w:val="auto"/>
          <w:sz w:val="18"/>
          <w:szCs w:val="18"/>
        </w:rPr>
        <w:t>ó</w:t>
      </w:r>
      <w:r w:rsidRPr="000C4D2A">
        <w:rPr>
          <w:bCs w:val="0"/>
          <w:color w:val="auto"/>
          <w:sz w:val="18"/>
          <w:szCs w:val="18"/>
        </w:rPr>
        <w:t xml:space="preserve">n, en el trimestre </w:t>
      </w:r>
      <w:r w:rsidR="004C74F5">
        <w:rPr>
          <w:bCs w:val="0"/>
          <w:color w:val="auto"/>
          <w:sz w:val="18"/>
          <w:szCs w:val="18"/>
        </w:rPr>
        <w:t>abril-juni</w:t>
      </w:r>
      <w:r w:rsidRPr="000C4D2A">
        <w:rPr>
          <w:bCs w:val="0"/>
          <w:color w:val="auto"/>
          <w:sz w:val="18"/>
          <w:szCs w:val="18"/>
        </w:rPr>
        <w:t>o</w:t>
      </w:r>
      <w:r>
        <w:rPr>
          <w:bCs w:val="0"/>
          <w:color w:val="auto"/>
          <w:sz w:val="18"/>
          <w:szCs w:val="18"/>
        </w:rPr>
        <w:t xml:space="preserve"> de 2019</w:t>
      </w:r>
      <w:r w:rsidRPr="000C4D2A">
        <w:rPr>
          <w:bCs w:val="0"/>
          <w:color w:val="auto"/>
          <w:sz w:val="18"/>
          <w:szCs w:val="18"/>
        </w:rPr>
        <w:t>.</w:t>
      </w:r>
    </w:p>
    <w:p w:rsidR="00945E53" w:rsidRDefault="00945E53" w:rsidP="00945E53">
      <w:pPr>
        <w:pStyle w:val="Textoindependiente3"/>
        <w:spacing w:line="264" w:lineRule="auto"/>
        <w:rPr>
          <w:bCs w:val="0"/>
          <w:color w:val="auto"/>
          <w:sz w:val="20"/>
          <w:szCs w:val="20"/>
        </w:rPr>
      </w:pPr>
      <w:r w:rsidRPr="001B7C84">
        <w:rPr>
          <w:noProof/>
          <w:sz w:val="20"/>
          <w:szCs w:val="20"/>
          <w:lang w:val="es-SV" w:eastAsia="es-SV"/>
        </w:rPr>
        <w:drawing>
          <wp:inline distT="0" distB="0" distL="0" distR="0">
            <wp:extent cx="5962650" cy="2352675"/>
            <wp:effectExtent l="19050" t="0" r="19050" b="0"/>
            <wp:docPr id="3" name="Objet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45E53" w:rsidRPr="004D6A02" w:rsidRDefault="00945E53" w:rsidP="00945E53">
      <w:pPr>
        <w:jc w:val="both"/>
        <w:rPr>
          <w:rFonts w:ascii="Arial" w:hAnsi="Arial" w:cs="Arial"/>
          <w:color w:val="000000" w:themeColor="text1"/>
          <w:sz w:val="20"/>
          <w:szCs w:val="20"/>
          <w:lang w:val="es-SV" w:eastAsia="es-SV"/>
        </w:rPr>
      </w:pPr>
      <w:r>
        <w:rPr>
          <w:b/>
          <w:color w:val="000000" w:themeColor="text1"/>
          <w:sz w:val="20"/>
          <w:szCs w:val="20"/>
        </w:rPr>
        <w:t xml:space="preserve">Simbología: </w:t>
      </w:r>
      <w:r w:rsidRPr="00F124EB">
        <w:rPr>
          <w:b/>
          <w:color w:val="000000" w:themeColor="text1"/>
          <w:sz w:val="20"/>
          <w:szCs w:val="20"/>
        </w:rPr>
        <w:t>1.</w:t>
      </w:r>
      <w:r w:rsidRPr="006A6FDE">
        <w:rPr>
          <w:rFonts w:ascii="Arial" w:hAnsi="Arial" w:cs="Arial"/>
          <w:sz w:val="20"/>
          <w:szCs w:val="20"/>
          <w:lang w:val="es-SV" w:eastAsia="es-SV"/>
        </w:rPr>
        <w:t>Garantizar la calidad de la semilla y material vegetativo que se comercializa en el país</w:t>
      </w:r>
      <w:r>
        <w:rPr>
          <w:rFonts w:ascii="Arial" w:hAnsi="Arial" w:cs="Arial"/>
          <w:sz w:val="20"/>
          <w:szCs w:val="20"/>
          <w:lang w:val="es-SV" w:eastAsia="es-SV"/>
        </w:rPr>
        <w:t>;</w:t>
      </w:r>
      <w:r w:rsidRPr="00F124EB">
        <w:rPr>
          <w:color w:val="000000" w:themeColor="text1"/>
          <w:sz w:val="20"/>
          <w:szCs w:val="20"/>
        </w:rPr>
        <w:t xml:space="preserve"> </w:t>
      </w:r>
      <w:r w:rsidRPr="00F124EB">
        <w:rPr>
          <w:b/>
          <w:color w:val="000000" w:themeColor="text1"/>
          <w:sz w:val="20"/>
          <w:szCs w:val="20"/>
        </w:rPr>
        <w:t>2.</w:t>
      </w:r>
      <w:r>
        <w:rPr>
          <w:b/>
          <w:color w:val="000000" w:themeColor="text1"/>
          <w:sz w:val="20"/>
          <w:szCs w:val="20"/>
        </w:rPr>
        <w:t xml:space="preserve"> </w:t>
      </w:r>
      <w:r w:rsidRPr="006A6FDE">
        <w:rPr>
          <w:rFonts w:ascii="Arial" w:hAnsi="Arial" w:cs="Arial"/>
          <w:sz w:val="20"/>
          <w:szCs w:val="20"/>
        </w:rPr>
        <w:t xml:space="preserve"> </w:t>
      </w:r>
      <w:r w:rsidRPr="006A6FDE">
        <w:rPr>
          <w:rFonts w:ascii="Arial" w:hAnsi="Arial" w:cs="Arial"/>
          <w:sz w:val="20"/>
          <w:szCs w:val="20"/>
          <w:lang w:val="es-SV" w:eastAsia="es-SV"/>
        </w:rPr>
        <w:t>Reducción de los riesgos de contaminación de frutas y hortalizas de consumo humano</w:t>
      </w:r>
      <w:r>
        <w:rPr>
          <w:rFonts w:ascii="Arial" w:hAnsi="Arial" w:cs="Arial"/>
          <w:sz w:val="20"/>
          <w:szCs w:val="20"/>
          <w:lang w:val="es-SV" w:eastAsia="es-SV"/>
        </w:rPr>
        <w:t xml:space="preserve">; </w:t>
      </w:r>
      <w:r w:rsidRPr="00F124EB">
        <w:rPr>
          <w:b/>
          <w:color w:val="000000" w:themeColor="text1"/>
          <w:sz w:val="20"/>
          <w:szCs w:val="20"/>
        </w:rPr>
        <w:t>3.</w:t>
      </w:r>
      <w:r w:rsidRPr="006A6FDE">
        <w:rPr>
          <w:rFonts w:ascii="Arial" w:hAnsi="Arial" w:cs="Arial"/>
          <w:sz w:val="20"/>
          <w:szCs w:val="20"/>
        </w:rPr>
        <w:t xml:space="preserve"> </w:t>
      </w:r>
      <w:r w:rsidRPr="006A6FDE">
        <w:rPr>
          <w:rFonts w:ascii="Arial" w:hAnsi="Arial" w:cs="Arial"/>
          <w:sz w:val="20"/>
          <w:szCs w:val="20"/>
          <w:lang w:val="es-SV" w:eastAsia="es-SV"/>
        </w:rPr>
        <w:t>Protección del patrimonio agrícola del país contra plagas y enfermedades de importancia económica y cuarentenaria</w:t>
      </w:r>
      <w:r>
        <w:rPr>
          <w:rFonts w:ascii="Arial" w:hAnsi="Arial" w:cs="Arial"/>
          <w:sz w:val="20"/>
          <w:szCs w:val="20"/>
          <w:lang w:val="es-SV" w:eastAsia="es-SV"/>
        </w:rPr>
        <w:t xml:space="preserve">; </w:t>
      </w:r>
      <w:r w:rsidRPr="00F124EB">
        <w:rPr>
          <w:color w:val="000000" w:themeColor="text1"/>
          <w:sz w:val="20"/>
          <w:szCs w:val="20"/>
        </w:rPr>
        <w:t xml:space="preserve"> </w:t>
      </w:r>
      <w:r w:rsidRPr="00F124EB">
        <w:rPr>
          <w:b/>
          <w:color w:val="000000" w:themeColor="text1"/>
          <w:sz w:val="20"/>
          <w:szCs w:val="20"/>
        </w:rPr>
        <w:t>4.</w:t>
      </w:r>
      <w:r>
        <w:rPr>
          <w:b/>
          <w:color w:val="000000" w:themeColor="text1"/>
          <w:sz w:val="20"/>
          <w:szCs w:val="20"/>
        </w:rPr>
        <w:t xml:space="preserve">  </w:t>
      </w:r>
      <w:r w:rsidRPr="004D6A02">
        <w:rPr>
          <w:rFonts w:ascii="Arial" w:hAnsi="Arial" w:cs="Arial"/>
          <w:color w:val="000000" w:themeColor="text1"/>
          <w:sz w:val="20"/>
          <w:szCs w:val="20"/>
          <w:lang w:val="es-SV" w:eastAsia="es-SV"/>
        </w:rPr>
        <w:lastRenderedPageBreak/>
        <w:t xml:space="preserve">Aplicación del marco legal para garantizar la protección fitosanitaria del sector agrícola; </w:t>
      </w:r>
      <w:r w:rsidRPr="004D6A02">
        <w:rPr>
          <w:rFonts w:ascii="Arial" w:hAnsi="Arial" w:cs="Arial"/>
          <w:color w:val="000000" w:themeColor="text1"/>
          <w:sz w:val="20"/>
          <w:szCs w:val="20"/>
        </w:rPr>
        <w:t xml:space="preserve">5. </w:t>
      </w:r>
      <w:r w:rsidRPr="004D6A02">
        <w:rPr>
          <w:rFonts w:ascii="Arial" w:hAnsi="Arial" w:cs="Arial"/>
          <w:color w:val="000000" w:themeColor="text1"/>
          <w:sz w:val="20"/>
          <w:szCs w:val="20"/>
          <w:lang w:val="es-SV" w:eastAsia="es-SV"/>
        </w:rPr>
        <w:t>Reducción de las pérdidas postcosecha de granos básicos en fase de almacenamiento; 6. Vigilancia de la producción Orgánica Agrícola; 7.</w:t>
      </w:r>
      <w:r w:rsidRPr="004D6A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D6A02">
        <w:rPr>
          <w:rFonts w:ascii="Arial" w:hAnsi="Arial" w:cs="Arial"/>
          <w:color w:val="000000" w:themeColor="text1"/>
          <w:sz w:val="20"/>
          <w:szCs w:val="20"/>
          <w:lang w:val="es-SV" w:eastAsia="es-SV"/>
        </w:rPr>
        <w:t>Mayor cobertura de usuarios con servicios que brinda la DGSV.</w:t>
      </w:r>
    </w:p>
    <w:p w:rsidR="00945E53" w:rsidRPr="00F124EB" w:rsidRDefault="00945E53" w:rsidP="00945E53">
      <w:pPr>
        <w:spacing w:line="228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F124EB">
        <w:rPr>
          <w:rFonts w:ascii="Arial" w:hAnsi="Arial" w:cs="Arial"/>
          <w:b/>
          <w:bCs/>
          <w:color w:val="000000" w:themeColor="text1"/>
          <w:sz w:val="20"/>
          <w:szCs w:val="20"/>
        </w:rPr>
        <w:t>FUENTE: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</w:t>
      </w:r>
      <w:r w:rsidRPr="00F124EB">
        <w:rPr>
          <w:rFonts w:ascii="Arial" w:hAnsi="Arial" w:cs="Arial"/>
          <w:color w:val="000000" w:themeColor="text1"/>
          <w:sz w:val="16"/>
          <w:szCs w:val="16"/>
        </w:rPr>
        <w:t>DGSV</w:t>
      </w:r>
      <w:r w:rsidRPr="00F124EB">
        <w:rPr>
          <w:rFonts w:ascii="Arial" w:hAnsi="Arial" w:cs="Arial"/>
          <w:color w:val="000000" w:themeColor="text1"/>
          <w:sz w:val="20"/>
          <w:szCs w:val="20"/>
        </w:rPr>
        <w:t xml:space="preserve">. Informe de avance físico de </w:t>
      </w:r>
      <w:r w:rsidR="00AC5736">
        <w:rPr>
          <w:rFonts w:ascii="Arial" w:hAnsi="Arial" w:cs="Arial"/>
          <w:color w:val="000000" w:themeColor="text1"/>
          <w:sz w:val="20"/>
          <w:szCs w:val="20"/>
        </w:rPr>
        <w:t>abril--juni</w:t>
      </w:r>
      <w:r w:rsidRPr="00F124EB">
        <w:rPr>
          <w:rFonts w:ascii="Arial" w:hAnsi="Arial" w:cs="Arial"/>
          <w:color w:val="000000" w:themeColor="text1"/>
          <w:sz w:val="20"/>
          <w:szCs w:val="20"/>
        </w:rPr>
        <w:t>o de 201</w:t>
      </w:r>
      <w:r>
        <w:rPr>
          <w:rFonts w:ascii="Arial" w:hAnsi="Arial" w:cs="Arial"/>
          <w:color w:val="000000" w:themeColor="text1"/>
          <w:sz w:val="20"/>
          <w:szCs w:val="20"/>
        </w:rPr>
        <w:t>9</w:t>
      </w:r>
      <w:r w:rsidRPr="00F124EB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945E53" w:rsidRDefault="00945E53" w:rsidP="00945E53">
      <w:pPr>
        <w:pStyle w:val="Textoindependiente3"/>
        <w:ind w:left="284" w:hanging="284"/>
        <w:rPr>
          <w:color w:val="000000" w:themeColor="text1"/>
        </w:rPr>
      </w:pPr>
    </w:p>
    <w:p w:rsidR="00945E53" w:rsidRPr="002D1F02" w:rsidRDefault="00945E53" w:rsidP="00945E53">
      <w:p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D1F02">
        <w:rPr>
          <w:rFonts w:ascii="Arial" w:hAnsi="Arial" w:cs="Arial"/>
          <w:color w:val="000000" w:themeColor="text1"/>
          <w:sz w:val="22"/>
          <w:szCs w:val="22"/>
        </w:rPr>
        <w:t xml:space="preserve">De los productos generados por la Institución en el </w:t>
      </w:r>
      <w:r w:rsidR="00BD1F78">
        <w:rPr>
          <w:rFonts w:ascii="Arial" w:hAnsi="Arial" w:cs="Arial"/>
          <w:color w:val="000000" w:themeColor="text1"/>
          <w:sz w:val="22"/>
          <w:szCs w:val="22"/>
        </w:rPr>
        <w:t>periodo enero-junio</w:t>
      </w:r>
      <w:r w:rsidRPr="002D1F02">
        <w:rPr>
          <w:rFonts w:ascii="Arial" w:hAnsi="Arial" w:cs="Arial"/>
          <w:color w:val="000000" w:themeColor="text1"/>
          <w:sz w:val="22"/>
          <w:szCs w:val="22"/>
        </w:rPr>
        <w:t xml:space="preserve"> de 2019, se mencionan: </w:t>
      </w:r>
    </w:p>
    <w:p w:rsidR="00945E53" w:rsidRPr="00A854A6" w:rsidRDefault="00945E53" w:rsidP="00945E53">
      <w:pPr>
        <w:pStyle w:val="Prrafodelista"/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Realización de </w:t>
      </w:r>
      <w:r w:rsidR="005214BA" w:rsidRPr="00757AD4">
        <w:rPr>
          <w:rFonts w:ascii="Arial" w:hAnsi="Arial" w:cs="Arial"/>
          <w:b/>
          <w:color w:val="000000" w:themeColor="text1"/>
          <w:sz w:val="22"/>
          <w:szCs w:val="22"/>
        </w:rPr>
        <w:t>295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 visitas a campos de producción de semilla;   </w:t>
      </w:r>
    </w:p>
    <w:p w:rsidR="00945E53" w:rsidRPr="00A854A6" w:rsidRDefault="005214BA" w:rsidP="00945E53">
      <w:pPr>
        <w:pStyle w:val="Prrafodelista"/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2774</w:t>
      </w:r>
      <w:r w:rsidR="00945E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45E53" w:rsidRPr="00A854A6">
        <w:rPr>
          <w:rFonts w:ascii="Arial" w:hAnsi="Arial" w:cs="Arial"/>
          <w:color w:val="000000" w:themeColor="text1"/>
          <w:sz w:val="22"/>
          <w:szCs w:val="22"/>
        </w:rPr>
        <w:t xml:space="preserve">análisis de laboratorio en muestras de semilla; </w:t>
      </w:r>
    </w:p>
    <w:p w:rsidR="00945E53" w:rsidRPr="00A854A6" w:rsidRDefault="005214BA" w:rsidP="00945E53">
      <w:pPr>
        <w:pStyle w:val="Prrafodelista"/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</w:t>
      </w:r>
      <w:r w:rsidR="00945E53" w:rsidRPr="00A854A6">
        <w:rPr>
          <w:rFonts w:ascii="Arial" w:hAnsi="Arial" w:cs="Arial"/>
          <w:color w:val="000000" w:themeColor="text1"/>
          <w:sz w:val="22"/>
          <w:szCs w:val="22"/>
        </w:rPr>
        <w:t xml:space="preserve">ealización de </w:t>
      </w:r>
      <w:r w:rsidRPr="00757AD4">
        <w:rPr>
          <w:rFonts w:ascii="Arial" w:hAnsi="Arial" w:cs="Arial"/>
          <w:b/>
          <w:color w:val="000000" w:themeColor="text1"/>
          <w:sz w:val="22"/>
          <w:szCs w:val="22"/>
        </w:rPr>
        <w:t>45</w:t>
      </w:r>
      <w:r w:rsidR="00945E53" w:rsidRPr="00A854A6">
        <w:rPr>
          <w:rFonts w:ascii="Arial" w:hAnsi="Arial" w:cs="Arial"/>
          <w:color w:val="000000" w:themeColor="text1"/>
          <w:sz w:val="22"/>
          <w:szCs w:val="22"/>
        </w:rPr>
        <w:t xml:space="preserve"> inspecciones de la aplicación de Buenas Práctica Agrícolas y de Manufactura en frutas y hortalizas; </w:t>
      </w:r>
    </w:p>
    <w:p w:rsidR="00945E53" w:rsidRPr="00A854A6" w:rsidRDefault="00757AD4" w:rsidP="00945E53">
      <w:pPr>
        <w:pStyle w:val="Prrafodelista"/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</w:t>
      </w:r>
      <w:r w:rsidR="00945E53" w:rsidRPr="00A854A6">
        <w:rPr>
          <w:rFonts w:ascii="Arial" w:hAnsi="Arial" w:cs="Arial"/>
          <w:color w:val="000000" w:themeColor="text1"/>
          <w:sz w:val="22"/>
          <w:szCs w:val="22"/>
        </w:rPr>
        <w:t xml:space="preserve">roducción de </w:t>
      </w:r>
      <w:r w:rsidRPr="00757AD4">
        <w:rPr>
          <w:rFonts w:ascii="Arial" w:hAnsi="Arial" w:cs="Arial"/>
          <w:b/>
          <w:color w:val="000000" w:themeColor="text1"/>
          <w:sz w:val="22"/>
          <w:szCs w:val="22"/>
        </w:rPr>
        <w:t>2,047.58</w:t>
      </w:r>
      <w:r w:rsidR="00945E53" w:rsidRPr="00A854A6">
        <w:rPr>
          <w:rFonts w:ascii="Arial" w:hAnsi="Arial" w:cs="Arial"/>
          <w:color w:val="000000" w:themeColor="text1"/>
          <w:sz w:val="22"/>
          <w:szCs w:val="22"/>
        </w:rPr>
        <w:t xml:space="preserve"> millones de parasitoides para el control de la mosca de la fruta y protección del Patrimonio Nacional; </w:t>
      </w:r>
    </w:p>
    <w:p w:rsidR="00945E53" w:rsidRPr="00A854A6" w:rsidRDefault="00757AD4" w:rsidP="00945E53">
      <w:pPr>
        <w:pStyle w:val="Prrafodelista"/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</w:t>
      </w:r>
      <w:r w:rsidR="00945E53" w:rsidRPr="00A854A6">
        <w:rPr>
          <w:rFonts w:ascii="Arial" w:hAnsi="Arial" w:cs="Arial"/>
          <w:color w:val="000000" w:themeColor="text1"/>
          <w:sz w:val="22"/>
          <w:szCs w:val="22"/>
        </w:rPr>
        <w:t xml:space="preserve">ealización de </w:t>
      </w:r>
      <w:r w:rsidR="00945E53" w:rsidRPr="00280747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33</w:t>
      </w:r>
      <w:r w:rsidR="00945E53" w:rsidRPr="00A854A6">
        <w:rPr>
          <w:rFonts w:ascii="Arial" w:hAnsi="Arial" w:cs="Arial"/>
          <w:color w:val="000000" w:themeColor="text1"/>
          <w:sz w:val="22"/>
          <w:szCs w:val="22"/>
        </w:rPr>
        <w:t xml:space="preserve"> visitas de fiscalización a establecimientos que comercializan insumos de uso agrícola; </w:t>
      </w:r>
    </w:p>
    <w:p w:rsidR="00945E53" w:rsidRPr="00A854A6" w:rsidRDefault="00757AD4" w:rsidP="00945E53">
      <w:pPr>
        <w:pStyle w:val="Prrafodelista"/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</w:t>
      </w:r>
      <w:r w:rsidR="00945E53" w:rsidRPr="00A854A6">
        <w:rPr>
          <w:rFonts w:ascii="Arial" w:hAnsi="Arial" w:cs="Arial"/>
          <w:color w:val="000000" w:themeColor="text1"/>
          <w:sz w:val="22"/>
          <w:szCs w:val="22"/>
        </w:rPr>
        <w:t xml:space="preserve">apacitación de </w:t>
      </w:r>
      <w:r w:rsidRPr="00757AD4">
        <w:rPr>
          <w:rFonts w:ascii="Arial" w:hAnsi="Arial" w:cs="Arial"/>
          <w:b/>
          <w:color w:val="000000" w:themeColor="text1"/>
          <w:sz w:val="22"/>
          <w:szCs w:val="22"/>
        </w:rPr>
        <w:t>112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45E53" w:rsidRPr="00A854A6">
        <w:rPr>
          <w:rFonts w:ascii="Arial" w:hAnsi="Arial" w:cs="Arial"/>
          <w:color w:val="000000" w:themeColor="text1"/>
          <w:sz w:val="22"/>
          <w:szCs w:val="22"/>
        </w:rPr>
        <w:t xml:space="preserve">hombres y </w:t>
      </w:r>
      <w:r w:rsidRPr="00757AD4">
        <w:rPr>
          <w:rFonts w:ascii="Arial" w:hAnsi="Arial" w:cs="Arial"/>
          <w:b/>
          <w:color w:val="000000" w:themeColor="text1"/>
          <w:sz w:val="22"/>
          <w:szCs w:val="22"/>
        </w:rPr>
        <w:t>62</w:t>
      </w:r>
      <w:r w:rsidR="00945E53" w:rsidRPr="00A854A6">
        <w:rPr>
          <w:rFonts w:ascii="Arial" w:hAnsi="Arial" w:cs="Arial"/>
          <w:color w:val="000000" w:themeColor="text1"/>
          <w:sz w:val="22"/>
          <w:szCs w:val="22"/>
        </w:rPr>
        <w:t xml:space="preserve"> mujeres en inocuidad y almacenamiento de granos básicos.</w:t>
      </w:r>
    </w:p>
    <w:p w:rsidR="00D301D2" w:rsidRDefault="00D301D2" w:rsidP="00945E53">
      <w:pPr>
        <w:spacing w:line="254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D301D2" w:rsidRPr="00556B29" w:rsidRDefault="00D301D2" w:rsidP="00D301D2">
      <w:pPr>
        <w:pStyle w:val="Textoindependiente3"/>
        <w:tabs>
          <w:tab w:val="left" w:pos="-426"/>
          <w:tab w:val="left" w:pos="709"/>
        </w:tabs>
        <w:spacing w:line="264" w:lineRule="auto"/>
        <w:rPr>
          <w:b/>
          <w:bCs w:val="0"/>
          <w:color w:val="auto"/>
        </w:rPr>
      </w:pPr>
      <w:r>
        <w:rPr>
          <w:b/>
          <w:bCs w:val="0"/>
          <w:color w:val="auto"/>
        </w:rPr>
        <w:t>I</w:t>
      </w:r>
      <w:r w:rsidRPr="00556B29">
        <w:rPr>
          <w:b/>
          <w:bCs w:val="0"/>
          <w:color w:val="auto"/>
        </w:rPr>
        <w:t>I.</w:t>
      </w:r>
      <w:r w:rsidRPr="00556B29">
        <w:rPr>
          <w:bCs w:val="0"/>
          <w:color w:val="auto"/>
        </w:rPr>
        <w:tab/>
      </w:r>
      <w:r w:rsidRPr="00556B29">
        <w:rPr>
          <w:b/>
          <w:bCs w:val="0"/>
          <w:color w:val="auto"/>
        </w:rPr>
        <w:t>AVANCE FISICO ALCANZADO EN EL</w:t>
      </w:r>
      <w:r>
        <w:rPr>
          <w:b/>
          <w:bCs w:val="0"/>
          <w:color w:val="auto"/>
        </w:rPr>
        <w:t xml:space="preserve"> PERIODO ENERO-JUNIO </w:t>
      </w:r>
      <w:r w:rsidRPr="00556B29">
        <w:rPr>
          <w:b/>
          <w:bCs w:val="0"/>
          <w:color w:val="auto"/>
        </w:rPr>
        <w:t>DE 201</w:t>
      </w:r>
      <w:r>
        <w:rPr>
          <w:b/>
          <w:bCs w:val="0"/>
          <w:color w:val="auto"/>
        </w:rPr>
        <w:t>9</w:t>
      </w:r>
    </w:p>
    <w:p w:rsidR="00D301D2" w:rsidRPr="00556B29" w:rsidRDefault="00D301D2" w:rsidP="00D301D2">
      <w:pPr>
        <w:pStyle w:val="Textoindependiente3"/>
        <w:spacing w:line="264" w:lineRule="auto"/>
        <w:rPr>
          <w:b/>
          <w:bCs w:val="0"/>
          <w:color w:val="auto"/>
        </w:rPr>
      </w:pPr>
    </w:p>
    <w:p w:rsidR="00D301D2" w:rsidRDefault="00D301D2" w:rsidP="00D301D2">
      <w:pPr>
        <w:pStyle w:val="Textoindependiente3"/>
        <w:spacing w:line="264" w:lineRule="auto"/>
        <w:rPr>
          <w:bCs w:val="0"/>
          <w:color w:val="auto"/>
        </w:rPr>
      </w:pPr>
      <w:r w:rsidRPr="00A0520F">
        <w:rPr>
          <w:bCs w:val="0"/>
          <w:color w:val="auto"/>
        </w:rPr>
        <w:t xml:space="preserve">En el </w:t>
      </w:r>
      <w:r>
        <w:rPr>
          <w:bCs w:val="0"/>
          <w:color w:val="auto"/>
        </w:rPr>
        <w:t>periodo comprendido de enero a junio</w:t>
      </w:r>
      <w:r w:rsidRPr="00A0520F">
        <w:rPr>
          <w:bCs w:val="0"/>
          <w:color w:val="auto"/>
        </w:rPr>
        <w:t xml:space="preserve">, la </w:t>
      </w:r>
      <w:r w:rsidRPr="001A1969">
        <w:rPr>
          <w:b/>
          <w:bCs w:val="0"/>
          <w:color w:val="auto"/>
        </w:rPr>
        <w:t>DGSV</w:t>
      </w:r>
      <w:r w:rsidRPr="00A0520F">
        <w:rPr>
          <w:bCs w:val="0"/>
          <w:color w:val="auto"/>
        </w:rPr>
        <w:t xml:space="preserve"> logr</w:t>
      </w:r>
      <w:r>
        <w:rPr>
          <w:bCs w:val="0"/>
          <w:color w:val="auto"/>
        </w:rPr>
        <w:t>ó</w:t>
      </w:r>
      <w:r w:rsidRPr="00A0520F">
        <w:rPr>
          <w:bCs w:val="0"/>
          <w:color w:val="auto"/>
        </w:rPr>
        <w:t xml:space="preserve"> un avance físico</w:t>
      </w:r>
      <w:r>
        <w:rPr>
          <w:bCs w:val="0"/>
          <w:color w:val="auto"/>
        </w:rPr>
        <w:t xml:space="preserve"> de 98.2%, </w:t>
      </w:r>
      <w:r w:rsidRPr="00A0520F">
        <w:rPr>
          <w:bCs w:val="0"/>
          <w:color w:val="auto"/>
        </w:rPr>
        <w:t xml:space="preserve">respecto a las metas planificadas a cumplir en dicho </w:t>
      </w:r>
      <w:r>
        <w:rPr>
          <w:bCs w:val="0"/>
          <w:color w:val="auto"/>
        </w:rPr>
        <w:t xml:space="preserve">periodo, desempeño calificado como </w:t>
      </w:r>
      <w:r w:rsidRPr="00B87CB1">
        <w:rPr>
          <w:b/>
          <w:bCs w:val="0"/>
          <w:color w:val="auto"/>
        </w:rPr>
        <w:t>Muy</w:t>
      </w:r>
      <w:r>
        <w:rPr>
          <w:bCs w:val="0"/>
          <w:color w:val="auto"/>
        </w:rPr>
        <w:t xml:space="preserve"> </w:t>
      </w:r>
      <w:r w:rsidRPr="00A372C8">
        <w:rPr>
          <w:b/>
          <w:bCs w:val="0"/>
          <w:color w:val="auto"/>
        </w:rPr>
        <w:t>Bueno</w:t>
      </w:r>
      <w:r>
        <w:rPr>
          <w:bCs w:val="0"/>
          <w:color w:val="auto"/>
        </w:rPr>
        <w:t xml:space="preserve"> (ver Gráfico 1). </w:t>
      </w:r>
    </w:p>
    <w:p w:rsidR="00D301D2" w:rsidRDefault="00D301D2" w:rsidP="00D301D2">
      <w:pPr>
        <w:pStyle w:val="Textoindependiente3"/>
        <w:rPr>
          <w:color w:val="000000" w:themeColor="text1"/>
        </w:rPr>
      </w:pPr>
    </w:p>
    <w:p w:rsidR="00D301D2" w:rsidRPr="00363D93" w:rsidRDefault="00D301D2" w:rsidP="00D301D2">
      <w:pPr>
        <w:pStyle w:val="Textoindependiente3"/>
        <w:rPr>
          <w:color w:val="000000" w:themeColor="text1"/>
          <w:szCs w:val="24"/>
        </w:rPr>
      </w:pPr>
      <w:r w:rsidRPr="00097110">
        <w:rPr>
          <w:color w:val="000000" w:themeColor="text1"/>
        </w:rPr>
        <w:t>El cumplimiento</w:t>
      </w:r>
      <w:r>
        <w:rPr>
          <w:color w:val="000000" w:themeColor="text1"/>
        </w:rPr>
        <w:t xml:space="preserve"> total</w:t>
      </w:r>
      <w:r w:rsidRPr="00097110">
        <w:rPr>
          <w:color w:val="000000" w:themeColor="text1"/>
        </w:rPr>
        <w:t xml:space="preserve"> de Indicadores de Resultados, fue </w:t>
      </w:r>
      <w:r>
        <w:rPr>
          <w:color w:val="000000" w:themeColor="text1"/>
        </w:rPr>
        <w:t>de</w:t>
      </w:r>
      <w:r w:rsidRPr="00097110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  <w:r w:rsidRPr="000E6106">
        <w:rPr>
          <w:b/>
          <w:color w:val="000000" w:themeColor="text1"/>
          <w:szCs w:val="24"/>
        </w:rPr>
        <w:t>2</w:t>
      </w:r>
      <w:r>
        <w:rPr>
          <w:b/>
          <w:color w:val="000000" w:themeColor="text1"/>
          <w:szCs w:val="24"/>
        </w:rPr>
        <w:t>1</w:t>
      </w:r>
      <w:r>
        <w:rPr>
          <w:color w:val="000000" w:themeColor="text1"/>
          <w:szCs w:val="24"/>
        </w:rPr>
        <w:t xml:space="preserve"> </w:t>
      </w:r>
      <w:r w:rsidRPr="00097110">
        <w:rPr>
          <w:color w:val="000000" w:themeColor="text1"/>
          <w:szCs w:val="24"/>
        </w:rPr>
        <w:t xml:space="preserve">y </w:t>
      </w:r>
      <w:r w:rsidRPr="004C74F5">
        <w:rPr>
          <w:b/>
          <w:color w:val="000000" w:themeColor="text1"/>
          <w:sz w:val="24"/>
          <w:szCs w:val="24"/>
        </w:rPr>
        <w:t>uno</w:t>
      </w:r>
      <w:r>
        <w:rPr>
          <w:color w:val="000000" w:themeColor="text1"/>
          <w:szCs w:val="24"/>
        </w:rPr>
        <w:t xml:space="preserve"> con in</w:t>
      </w:r>
      <w:r w:rsidRPr="00097110">
        <w:rPr>
          <w:color w:val="000000" w:themeColor="text1"/>
          <w:szCs w:val="24"/>
        </w:rPr>
        <w:t xml:space="preserve">cumplimiento </w:t>
      </w:r>
      <w:r>
        <w:rPr>
          <w:color w:val="000000" w:themeColor="text1"/>
          <w:szCs w:val="24"/>
        </w:rPr>
        <w:t xml:space="preserve">total. </w:t>
      </w:r>
    </w:p>
    <w:p w:rsidR="00D301D2" w:rsidRDefault="00D301D2" w:rsidP="00D301D2">
      <w:pPr>
        <w:pStyle w:val="Textoindependiente3"/>
        <w:spacing w:line="264" w:lineRule="auto"/>
        <w:rPr>
          <w:b/>
          <w:bCs w:val="0"/>
          <w:color w:val="auto"/>
          <w:sz w:val="18"/>
          <w:szCs w:val="18"/>
        </w:rPr>
      </w:pPr>
    </w:p>
    <w:p w:rsidR="00D301D2" w:rsidRPr="000C4D2A" w:rsidRDefault="00D301D2" w:rsidP="00D301D2">
      <w:pPr>
        <w:pStyle w:val="Textoindependiente3"/>
        <w:spacing w:line="264" w:lineRule="auto"/>
        <w:rPr>
          <w:bCs w:val="0"/>
          <w:color w:val="auto"/>
          <w:sz w:val="18"/>
          <w:szCs w:val="18"/>
        </w:rPr>
      </w:pPr>
      <w:r w:rsidRPr="000C4D2A">
        <w:rPr>
          <w:b/>
          <w:bCs w:val="0"/>
          <w:color w:val="auto"/>
          <w:sz w:val="18"/>
          <w:szCs w:val="18"/>
        </w:rPr>
        <w:t>Gráfico 1.</w:t>
      </w:r>
      <w:r>
        <w:rPr>
          <w:b/>
          <w:bCs w:val="0"/>
          <w:color w:val="auto"/>
          <w:sz w:val="18"/>
          <w:szCs w:val="18"/>
        </w:rPr>
        <w:t xml:space="preserve"> </w:t>
      </w:r>
      <w:r w:rsidRPr="000C4D2A">
        <w:rPr>
          <w:bCs w:val="0"/>
          <w:color w:val="auto"/>
          <w:sz w:val="18"/>
          <w:szCs w:val="18"/>
        </w:rPr>
        <w:t>Avance físico en porcentaje por R</w:t>
      </w:r>
      <w:r>
        <w:rPr>
          <w:bCs w:val="0"/>
          <w:color w:val="auto"/>
          <w:sz w:val="18"/>
          <w:szCs w:val="18"/>
        </w:rPr>
        <w:t xml:space="preserve">esultados </w:t>
      </w:r>
      <w:r w:rsidRPr="000C4D2A">
        <w:rPr>
          <w:bCs w:val="0"/>
          <w:color w:val="auto"/>
          <w:sz w:val="18"/>
          <w:szCs w:val="18"/>
        </w:rPr>
        <w:t>y Total Instituci</w:t>
      </w:r>
      <w:r>
        <w:rPr>
          <w:bCs w:val="0"/>
          <w:color w:val="auto"/>
          <w:sz w:val="18"/>
          <w:szCs w:val="18"/>
        </w:rPr>
        <w:t>ón</w:t>
      </w:r>
      <w:r w:rsidRPr="000C4D2A">
        <w:rPr>
          <w:bCs w:val="0"/>
          <w:color w:val="auto"/>
          <w:sz w:val="18"/>
          <w:szCs w:val="18"/>
        </w:rPr>
        <w:t xml:space="preserve"> en el </w:t>
      </w:r>
      <w:r>
        <w:rPr>
          <w:bCs w:val="0"/>
          <w:color w:val="auto"/>
          <w:sz w:val="18"/>
          <w:szCs w:val="18"/>
        </w:rPr>
        <w:t>periodo</w:t>
      </w:r>
      <w:r w:rsidRPr="000C4D2A">
        <w:rPr>
          <w:bCs w:val="0"/>
          <w:color w:val="auto"/>
          <w:sz w:val="18"/>
          <w:szCs w:val="18"/>
        </w:rPr>
        <w:t xml:space="preserve"> </w:t>
      </w:r>
      <w:r>
        <w:rPr>
          <w:bCs w:val="0"/>
          <w:color w:val="auto"/>
          <w:sz w:val="18"/>
          <w:szCs w:val="18"/>
        </w:rPr>
        <w:t>enero-junio de 2019</w:t>
      </w:r>
      <w:r w:rsidRPr="000C4D2A">
        <w:rPr>
          <w:bCs w:val="0"/>
          <w:color w:val="auto"/>
          <w:sz w:val="18"/>
          <w:szCs w:val="18"/>
        </w:rPr>
        <w:t>.</w:t>
      </w:r>
    </w:p>
    <w:p w:rsidR="00D301D2" w:rsidRDefault="00D301D2" w:rsidP="00D301D2">
      <w:pPr>
        <w:pStyle w:val="Textoindependiente3"/>
        <w:spacing w:line="264" w:lineRule="auto"/>
        <w:rPr>
          <w:bCs w:val="0"/>
          <w:color w:val="auto"/>
          <w:sz w:val="20"/>
          <w:szCs w:val="20"/>
        </w:rPr>
      </w:pPr>
      <w:r w:rsidRPr="001B7C84">
        <w:rPr>
          <w:noProof/>
          <w:sz w:val="20"/>
          <w:szCs w:val="20"/>
          <w:lang w:val="es-SV" w:eastAsia="es-SV"/>
        </w:rPr>
        <w:drawing>
          <wp:inline distT="0" distB="0" distL="0" distR="0">
            <wp:extent cx="5962650" cy="2352675"/>
            <wp:effectExtent l="19050" t="0" r="19050" b="0"/>
            <wp:docPr id="1" name="Objet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301D2" w:rsidRPr="001570C9" w:rsidRDefault="00D301D2" w:rsidP="00D301D2">
      <w:pPr>
        <w:jc w:val="both"/>
        <w:rPr>
          <w:rFonts w:ascii="Arial" w:hAnsi="Arial" w:cs="Arial"/>
          <w:sz w:val="20"/>
          <w:szCs w:val="20"/>
          <w:lang w:val="es-SV" w:eastAsia="es-SV"/>
        </w:rPr>
      </w:pPr>
      <w:r>
        <w:rPr>
          <w:b/>
          <w:color w:val="000000" w:themeColor="text1"/>
          <w:sz w:val="20"/>
          <w:szCs w:val="20"/>
        </w:rPr>
        <w:t xml:space="preserve">Simbología: </w:t>
      </w:r>
      <w:r w:rsidRPr="00F124EB">
        <w:rPr>
          <w:b/>
          <w:color w:val="000000" w:themeColor="text1"/>
          <w:sz w:val="20"/>
          <w:szCs w:val="20"/>
        </w:rPr>
        <w:t>1.</w:t>
      </w:r>
      <w:r w:rsidRPr="006A6FDE">
        <w:rPr>
          <w:rFonts w:ascii="Arial" w:hAnsi="Arial" w:cs="Arial"/>
          <w:sz w:val="20"/>
          <w:szCs w:val="20"/>
        </w:rPr>
        <w:t xml:space="preserve"> </w:t>
      </w:r>
      <w:r w:rsidRPr="006A6FDE">
        <w:rPr>
          <w:rFonts w:ascii="Arial" w:hAnsi="Arial" w:cs="Arial"/>
          <w:sz w:val="20"/>
          <w:szCs w:val="20"/>
          <w:lang w:val="es-SV" w:eastAsia="es-SV"/>
        </w:rPr>
        <w:t>Garantizar la calidad de la semilla y material vegetativo que se comercializa en el país</w:t>
      </w:r>
      <w:r>
        <w:rPr>
          <w:rFonts w:ascii="Arial" w:hAnsi="Arial" w:cs="Arial"/>
          <w:sz w:val="20"/>
          <w:szCs w:val="20"/>
          <w:lang w:val="es-SV" w:eastAsia="es-SV"/>
        </w:rPr>
        <w:t>;</w:t>
      </w:r>
      <w:r w:rsidRPr="00F124EB">
        <w:rPr>
          <w:color w:val="000000" w:themeColor="text1"/>
          <w:sz w:val="20"/>
          <w:szCs w:val="20"/>
        </w:rPr>
        <w:t xml:space="preserve"> </w:t>
      </w:r>
      <w:r w:rsidRPr="00F124EB">
        <w:rPr>
          <w:b/>
          <w:color w:val="000000" w:themeColor="text1"/>
          <w:sz w:val="20"/>
          <w:szCs w:val="20"/>
        </w:rPr>
        <w:t>2.</w:t>
      </w:r>
      <w:r>
        <w:rPr>
          <w:b/>
          <w:color w:val="000000" w:themeColor="text1"/>
          <w:sz w:val="20"/>
          <w:szCs w:val="20"/>
        </w:rPr>
        <w:t xml:space="preserve"> </w:t>
      </w:r>
      <w:r w:rsidRPr="006A6FDE">
        <w:rPr>
          <w:rFonts w:ascii="Arial" w:hAnsi="Arial" w:cs="Arial"/>
          <w:sz w:val="20"/>
          <w:szCs w:val="20"/>
        </w:rPr>
        <w:t xml:space="preserve"> </w:t>
      </w:r>
      <w:r w:rsidRPr="006A6FDE">
        <w:rPr>
          <w:rFonts w:ascii="Arial" w:hAnsi="Arial" w:cs="Arial"/>
          <w:sz w:val="20"/>
          <w:szCs w:val="20"/>
          <w:lang w:val="es-SV" w:eastAsia="es-SV"/>
        </w:rPr>
        <w:t>Reducción de los riesgos de contaminación de frutas y hortalizas de consumo humano</w:t>
      </w:r>
      <w:r>
        <w:rPr>
          <w:rFonts w:ascii="Arial" w:hAnsi="Arial" w:cs="Arial"/>
          <w:sz w:val="20"/>
          <w:szCs w:val="20"/>
          <w:lang w:val="es-SV" w:eastAsia="es-SV"/>
        </w:rPr>
        <w:t xml:space="preserve">; </w:t>
      </w:r>
      <w:r w:rsidRPr="00F124EB">
        <w:rPr>
          <w:b/>
          <w:color w:val="000000" w:themeColor="text1"/>
          <w:sz w:val="20"/>
          <w:szCs w:val="20"/>
        </w:rPr>
        <w:t>3.</w:t>
      </w:r>
      <w:r w:rsidRPr="006A6FDE">
        <w:rPr>
          <w:rFonts w:ascii="Arial" w:hAnsi="Arial" w:cs="Arial"/>
          <w:sz w:val="20"/>
          <w:szCs w:val="20"/>
        </w:rPr>
        <w:t xml:space="preserve"> </w:t>
      </w:r>
      <w:r w:rsidRPr="006A6FDE">
        <w:rPr>
          <w:rFonts w:ascii="Arial" w:hAnsi="Arial" w:cs="Arial"/>
          <w:sz w:val="20"/>
          <w:szCs w:val="20"/>
          <w:lang w:val="es-SV" w:eastAsia="es-SV"/>
        </w:rPr>
        <w:t>Protección del patrimonio agrícola del país contra plagas y enfermedades de importancia económica y cuarentenaria</w:t>
      </w:r>
      <w:r>
        <w:rPr>
          <w:rFonts w:ascii="Arial" w:hAnsi="Arial" w:cs="Arial"/>
          <w:sz w:val="20"/>
          <w:szCs w:val="20"/>
          <w:lang w:val="es-SV" w:eastAsia="es-SV"/>
        </w:rPr>
        <w:t xml:space="preserve">; </w:t>
      </w:r>
      <w:r w:rsidRPr="00F124EB">
        <w:rPr>
          <w:color w:val="000000" w:themeColor="text1"/>
          <w:sz w:val="20"/>
          <w:szCs w:val="20"/>
        </w:rPr>
        <w:t xml:space="preserve"> </w:t>
      </w:r>
      <w:r w:rsidRPr="00F124EB">
        <w:rPr>
          <w:b/>
          <w:color w:val="000000" w:themeColor="text1"/>
          <w:sz w:val="20"/>
          <w:szCs w:val="20"/>
        </w:rPr>
        <w:t>4.</w:t>
      </w:r>
      <w:r>
        <w:rPr>
          <w:b/>
          <w:color w:val="000000" w:themeColor="text1"/>
          <w:sz w:val="20"/>
          <w:szCs w:val="20"/>
        </w:rPr>
        <w:t xml:space="preserve">  </w:t>
      </w:r>
      <w:r w:rsidRPr="006A6FDE">
        <w:rPr>
          <w:rFonts w:ascii="Arial" w:hAnsi="Arial" w:cs="Arial"/>
          <w:sz w:val="20"/>
          <w:szCs w:val="20"/>
          <w:lang w:val="es-SV" w:eastAsia="es-SV"/>
        </w:rPr>
        <w:t>Aplicación del marco legal para garantizar la protección fitosanitaria del sector agrícola</w:t>
      </w:r>
      <w:r>
        <w:rPr>
          <w:rFonts w:ascii="Arial" w:hAnsi="Arial" w:cs="Arial"/>
          <w:sz w:val="20"/>
          <w:szCs w:val="20"/>
          <w:lang w:val="es-SV" w:eastAsia="es-SV"/>
        </w:rPr>
        <w:t xml:space="preserve">; </w:t>
      </w:r>
      <w:r w:rsidRPr="001570C9">
        <w:rPr>
          <w:b/>
          <w:color w:val="000000" w:themeColor="text1"/>
          <w:sz w:val="20"/>
          <w:szCs w:val="20"/>
        </w:rPr>
        <w:t>5.</w:t>
      </w:r>
      <w:r>
        <w:rPr>
          <w:color w:val="000000" w:themeColor="text1"/>
          <w:sz w:val="20"/>
          <w:szCs w:val="20"/>
        </w:rPr>
        <w:t xml:space="preserve"> </w:t>
      </w:r>
      <w:r w:rsidRPr="006A6FDE">
        <w:rPr>
          <w:rFonts w:ascii="Arial" w:hAnsi="Arial" w:cs="Arial"/>
          <w:sz w:val="20"/>
          <w:szCs w:val="20"/>
          <w:lang w:val="es-SV" w:eastAsia="es-SV"/>
        </w:rPr>
        <w:t>Reducción de las pérdidas postcosecha de granos básicos en fase de almacenamiento</w:t>
      </w:r>
      <w:r>
        <w:rPr>
          <w:rFonts w:ascii="Arial" w:hAnsi="Arial" w:cs="Arial"/>
          <w:sz w:val="20"/>
          <w:szCs w:val="20"/>
          <w:lang w:val="es-SV" w:eastAsia="es-SV"/>
        </w:rPr>
        <w:t xml:space="preserve">; </w:t>
      </w:r>
      <w:r w:rsidRPr="001570C9">
        <w:rPr>
          <w:rFonts w:ascii="Arial" w:hAnsi="Arial" w:cs="Arial"/>
          <w:b/>
          <w:sz w:val="20"/>
          <w:szCs w:val="20"/>
          <w:lang w:val="es-SV" w:eastAsia="es-SV"/>
        </w:rPr>
        <w:t>6.</w:t>
      </w:r>
      <w:r w:rsidRPr="006A6FDE">
        <w:rPr>
          <w:rFonts w:ascii="Arial" w:hAnsi="Arial" w:cs="Arial"/>
          <w:sz w:val="20"/>
          <w:szCs w:val="20"/>
          <w:lang w:val="es-SV" w:eastAsia="es-SV"/>
        </w:rPr>
        <w:t xml:space="preserve"> </w:t>
      </w:r>
      <w:r w:rsidRPr="001570C9">
        <w:rPr>
          <w:rFonts w:ascii="Arial" w:hAnsi="Arial" w:cs="Arial"/>
          <w:sz w:val="20"/>
          <w:szCs w:val="20"/>
          <w:lang w:val="es-SV" w:eastAsia="es-SV"/>
        </w:rPr>
        <w:t>Vigilancia de la producción Orgánica Agrícola</w:t>
      </w:r>
      <w:r>
        <w:rPr>
          <w:rFonts w:ascii="Arial" w:hAnsi="Arial" w:cs="Arial"/>
          <w:sz w:val="20"/>
          <w:szCs w:val="20"/>
          <w:lang w:val="es-SV" w:eastAsia="es-SV"/>
        </w:rPr>
        <w:t xml:space="preserve">; </w:t>
      </w:r>
      <w:r w:rsidRPr="001570C9">
        <w:rPr>
          <w:rFonts w:ascii="Arial" w:hAnsi="Arial" w:cs="Arial"/>
          <w:b/>
          <w:sz w:val="20"/>
          <w:szCs w:val="20"/>
          <w:lang w:val="es-SV" w:eastAsia="es-SV"/>
        </w:rPr>
        <w:t>7.</w:t>
      </w:r>
      <w:r w:rsidRPr="001570C9">
        <w:rPr>
          <w:rFonts w:ascii="Arial" w:hAnsi="Arial" w:cs="Arial"/>
          <w:sz w:val="20"/>
          <w:szCs w:val="20"/>
        </w:rPr>
        <w:t xml:space="preserve"> </w:t>
      </w:r>
      <w:r w:rsidRPr="001570C9">
        <w:rPr>
          <w:rFonts w:ascii="Arial" w:hAnsi="Arial" w:cs="Arial"/>
          <w:sz w:val="20"/>
          <w:szCs w:val="20"/>
          <w:lang w:val="es-SV" w:eastAsia="es-SV"/>
        </w:rPr>
        <w:t>Mayor cobertura de usuarios con servicios que brinda la DGSV</w:t>
      </w:r>
      <w:r>
        <w:rPr>
          <w:rFonts w:ascii="Arial" w:hAnsi="Arial" w:cs="Arial"/>
          <w:sz w:val="20"/>
          <w:szCs w:val="20"/>
          <w:lang w:val="es-SV" w:eastAsia="es-SV"/>
        </w:rPr>
        <w:t>.</w:t>
      </w:r>
    </w:p>
    <w:p w:rsidR="00D301D2" w:rsidRPr="00F124EB" w:rsidRDefault="00D301D2" w:rsidP="00D301D2">
      <w:pPr>
        <w:spacing w:line="228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F124EB">
        <w:rPr>
          <w:rFonts w:ascii="Arial" w:hAnsi="Arial" w:cs="Arial"/>
          <w:b/>
          <w:bCs/>
          <w:color w:val="000000" w:themeColor="text1"/>
          <w:sz w:val="20"/>
          <w:szCs w:val="20"/>
        </w:rPr>
        <w:t>FUENTE: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</w:t>
      </w:r>
      <w:r w:rsidRPr="00F124EB">
        <w:rPr>
          <w:rFonts w:ascii="Arial" w:hAnsi="Arial" w:cs="Arial"/>
          <w:color w:val="000000" w:themeColor="text1"/>
          <w:sz w:val="16"/>
          <w:szCs w:val="16"/>
        </w:rPr>
        <w:t>DGSV</w:t>
      </w:r>
      <w:r w:rsidRPr="00F124EB">
        <w:rPr>
          <w:rFonts w:ascii="Arial" w:hAnsi="Arial" w:cs="Arial"/>
          <w:color w:val="000000" w:themeColor="text1"/>
          <w:sz w:val="20"/>
          <w:szCs w:val="20"/>
        </w:rPr>
        <w:t xml:space="preserve">. Informe de avance físico de </w:t>
      </w:r>
      <w:r>
        <w:rPr>
          <w:rFonts w:ascii="Arial" w:hAnsi="Arial" w:cs="Arial"/>
          <w:color w:val="000000" w:themeColor="text1"/>
          <w:sz w:val="20"/>
          <w:szCs w:val="20"/>
        </w:rPr>
        <w:t>abril--juni</w:t>
      </w:r>
      <w:r w:rsidRPr="00F124EB">
        <w:rPr>
          <w:rFonts w:ascii="Arial" w:hAnsi="Arial" w:cs="Arial"/>
          <w:color w:val="000000" w:themeColor="text1"/>
          <w:sz w:val="20"/>
          <w:szCs w:val="20"/>
        </w:rPr>
        <w:t>o de 201</w:t>
      </w:r>
      <w:r>
        <w:rPr>
          <w:rFonts w:ascii="Arial" w:hAnsi="Arial" w:cs="Arial"/>
          <w:color w:val="000000" w:themeColor="text1"/>
          <w:sz w:val="20"/>
          <w:szCs w:val="20"/>
        </w:rPr>
        <w:t>9</w:t>
      </w:r>
      <w:r w:rsidRPr="00F124EB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D301D2" w:rsidRDefault="00D301D2" w:rsidP="00D301D2">
      <w:pPr>
        <w:pStyle w:val="Textoindependiente3"/>
        <w:ind w:left="284" w:hanging="284"/>
        <w:rPr>
          <w:color w:val="000000" w:themeColor="text1"/>
        </w:rPr>
      </w:pPr>
    </w:p>
    <w:p w:rsidR="00D301D2" w:rsidRPr="002D1F02" w:rsidRDefault="00D301D2" w:rsidP="00D301D2">
      <w:p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D1F02">
        <w:rPr>
          <w:rFonts w:ascii="Arial" w:hAnsi="Arial" w:cs="Arial"/>
          <w:color w:val="000000" w:themeColor="text1"/>
          <w:sz w:val="22"/>
          <w:szCs w:val="22"/>
        </w:rPr>
        <w:t xml:space="preserve">De los productos generados por la Institución en el </w:t>
      </w:r>
      <w:r w:rsidR="00BD1F78">
        <w:rPr>
          <w:rFonts w:ascii="Arial" w:hAnsi="Arial" w:cs="Arial"/>
          <w:color w:val="000000" w:themeColor="text1"/>
          <w:sz w:val="22"/>
          <w:szCs w:val="22"/>
        </w:rPr>
        <w:t xml:space="preserve">periodo enero-junio </w:t>
      </w:r>
      <w:r w:rsidRPr="002D1F02">
        <w:rPr>
          <w:rFonts w:ascii="Arial" w:hAnsi="Arial" w:cs="Arial"/>
          <w:color w:val="000000" w:themeColor="text1"/>
          <w:sz w:val="22"/>
          <w:szCs w:val="22"/>
        </w:rPr>
        <w:t xml:space="preserve">de 2019, se mencionan: </w:t>
      </w:r>
    </w:p>
    <w:p w:rsidR="00D301D2" w:rsidRPr="00A854A6" w:rsidRDefault="00D301D2" w:rsidP="000D63D8">
      <w:pPr>
        <w:pStyle w:val="Prrafodelista"/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54A6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Realización de </w:t>
      </w:r>
      <w:r w:rsidR="00BD1F78" w:rsidRPr="005A262F">
        <w:rPr>
          <w:rFonts w:ascii="Arial" w:hAnsi="Arial" w:cs="Arial"/>
          <w:b/>
          <w:color w:val="000000" w:themeColor="text1"/>
          <w:sz w:val="22"/>
          <w:szCs w:val="22"/>
        </w:rPr>
        <w:t>651</w:t>
      </w:r>
      <w:r w:rsidRPr="005A262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visitas a campos de producción de semilla;   </w:t>
      </w:r>
    </w:p>
    <w:p w:rsidR="00D301D2" w:rsidRPr="00A854A6" w:rsidRDefault="00BD1F78" w:rsidP="000D63D8">
      <w:pPr>
        <w:pStyle w:val="Prrafodelista"/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352</w:t>
      </w:r>
      <w:r w:rsidR="00D301D2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="00D301D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301D2" w:rsidRPr="00A854A6">
        <w:rPr>
          <w:rFonts w:ascii="Arial" w:hAnsi="Arial" w:cs="Arial"/>
          <w:color w:val="000000" w:themeColor="text1"/>
          <w:sz w:val="22"/>
          <w:szCs w:val="22"/>
        </w:rPr>
        <w:t xml:space="preserve">análisis de laboratorio en muestras de semilla; </w:t>
      </w:r>
    </w:p>
    <w:p w:rsidR="00D301D2" w:rsidRPr="00A854A6" w:rsidRDefault="00D301D2" w:rsidP="000D63D8">
      <w:pPr>
        <w:pStyle w:val="Prrafodelista"/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ealización de </w:t>
      </w:r>
      <w:r w:rsidR="00BD1F78" w:rsidRPr="005A262F">
        <w:rPr>
          <w:rFonts w:ascii="Arial" w:hAnsi="Arial" w:cs="Arial"/>
          <w:b/>
          <w:color w:val="000000" w:themeColor="text1"/>
          <w:sz w:val="22"/>
          <w:szCs w:val="22"/>
        </w:rPr>
        <w:t>14</w:t>
      </w:r>
      <w:r w:rsidRPr="005A262F">
        <w:rPr>
          <w:rFonts w:ascii="Arial" w:hAnsi="Arial" w:cs="Arial"/>
          <w:b/>
          <w:color w:val="000000" w:themeColor="text1"/>
          <w:sz w:val="22"/>
          <w:szCs w:val="22"/>
        </w:rPr>
        <w:t xml:space="preserve">4 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inspecciones de la aplicación de Buenas Práctica Agrícolas y de Manufactura en frutas y hortalizas; </w:t>
      </w:r>
    </w:p>
    <w:p w:rsidR="00D301D2" w:rsidRPr="00A854A6" w:rsidRDefault="00D301D2" w:rsidP="000D63D8">
      <w:pPr>
        <w:pStyle w:val="Prrafodelista"/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roducción de </w:t>
      </w:r>
      <w:r w:rsidRPr="00757AD4">
        <w:rPr>
          <w:rFonts w:ascii="Arial" w:hAnsi="Arial" w:cs="Arial"/>
          <w:b/>
          <w:color w:val="000000" w:themeColor="text1"/>
          <w:sz w:val="22"/>
          <w:szCs w:val="22"/>
        </w:rPr>
        <w:t>2,0</w:t>
      </w:r>
      <w:r w:rsidR="00BD1F78">
        <w:rPr>
          <w:rFonts w:ascii="Arial" w:hAnsi="Arial" w:cs="Arial"/>
          <w:b/>
          <w:color w:val="000000" w:themeColor="text1"/>
          <w:sz w:val="22"/>
          <w:szCs w:val="22"/>
        </w:rPr>
        <w:t>60</w:t>
      </w:r>
      <w:r w:rsidRPr="00757AD4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="00BD1F78">
        <w:rPr>
          <w:rFonts w:ascii="Arial" w:hAnsi="Arial" w:cs="Arial"/>
          <w:b/>
          <w:color w:val="000000" w:themeColor="text1"/>
          <w:sz w:val="22"/>
          <w:szCs w:val="22"/>
        </w:rPr>
        <w:t>73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 millones de parasitoides para el control de la mosca de la fruta y protección del Patrimonio Nacional; </w:t>
      </w:r>
    </w:p>
    <w:p w:rsidR="00D301D2" w:rsidRPr="00A854A6" w:rsidRDefault="00D301D2" w:rsidP="000D63D8">
      <w:pPr>
        <w:pStyle w:val="Prrafodelista"/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ealización de </w:t>
      </w:r>
      <w:r w:rsidR="00BD1F78" w:rsidRPr="005A262F">
        <w:rPr>
          <w:rFonts w:ascii="Arial" w:hAnsi="Arial" w:cs="Arial"/>
          <w:b/>
          <w:color w:val="000000" w:themeColor="text1"/>
          <w:sz w:val="22"/>
          <w:szCs w:val="22"/>
        </w:rPr>
        <w:t>1,662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 visitas de fiscalización a establecimientos que comercializan insumos de uso agrícola; </w:t>
      </w:r>
    </w:p>
    <w:p w:rsidR="00D301D2" w:rsidRPr="00A854A6" w:rsidRDefault="00D301D2" w:rsidP="000D63D8">
      <w:pPr>
        <w:pStyle w:val="Prrafodelista"/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apacitación de </w:t>
      </w:r>
      <w:r w:rsidRPr="00757AD4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BD1F78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Pr="00757AD4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hombres y </w:t>
      </w:r>
      <w:r w:rsidR="00BD1F78" w:rsidRPr="005A262F">
        <w:rPr>
          <w:rFonts w:ascii="Arial" w:hAnsi="Arial" w:cs="Arial"/>
          <w:b/>
          <w:color w:val="000000" w:themeColor="text1"/>
          <w:sz w:val="22"/>
          <w:szCs w:val="22"/>
        </w:rPr>
        <w:t>99</w:t>
      </w:r>
      <w:r w:rsidRPr="00A854A6">
        <w:rPr>
          <w:rFonts w:ascii="Arial" w:hAnsi="Arial" w:cs="Arial"/>
          <w:color w:val="000000" w:themeColor="text1"/>
          <w:sz w:val="22"/>
          <w:szCs w:val="22"/>
        </w:rPr>
        <w:t xml:space="preserve"> mujeres en inocuidad y almacenamiento de granos básicos.</w:t>
      </w:r>
    </w:p>
    <w:p w:rsidR="00D301D2" w:rsidRDefault="00D301D2" w:rsidP="00945E53">
      <w:pPr>
        <w:spacing w:line="254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D301D2" w:rsidRDefault="00D301D2" w:rsidP="00945E53">
      <w:pPr>
        <w:spacing w:line="254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945E53" w:rsidRDefault="00945E53" w:rsidP="00945E53">
      <w:pPr>
        <w:pStyle w:val="Textoindependiente"/>
        <w:spacing w:line="22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II. </w:t>
      </w:r>
      <w:r>
        <w:rPr>
          <w:rFonts w:ascii="Arial" w:hAnsi="Arial" w:cs="Arial"/>
          <w:b/>
          <w:bCs/>
          <w:sz w:val="22"/>
          <w:szCs w:val="22"/>
        </w:rPr>
        <w:tab/>
        <w:t>CONCLUSIONES Y RECOMENDACIONES</w:t>
      </w:r>
    </w:p>
    <w:p w:rsidR="00945E53" w:rsidRDefault="00945E53" w:rsidP="00945E53">
      <w:pPr>
        <w:pStyle w:val="Textoindependiente3"/>
        <w:spacing w:line="228" w:lineRule="auto"/>
        <w:rPr>
          <w:color w:val="000000" w:themeColor="text1"/>
        </w:rPr>
      </w:pPr>
    </w:p>
    <w:p w:rsidR="00945E53" w:rsidRDefault="00945E53" w:rsidP="00945E53">
      <w:pPr>
        <w:pStyle w:val="Textoindependiente3"/>
        <w:spacing w:line="228" w:lineRule="auto"/>
        <w:rPr>
          <w:color w:val="000000" w:themeColor="text1"/>
        </w:rPr>
      </w:pPr>
      <w:r w:rsidRPr="008B47D9">
        <w:rPr>
          <w:color w:val="000000" w:themeColor="text1"/>
        </w:rPr>
        <w:t xml:space="preserve">En el trimestre </w:t>
      </w:r>
      <w:r w:rsidR="006E076B">
        <w:rPr>
          <w:color w:val="000000" w:themeColor="text1"/>
        </w:rPr>
        <w:t xml:space="preserve">y periodo </w:t>
      </w:r>
      <w:r w:rsidRPr="008B47D9">
        <w:rPr>
          <w:color w:val="000000" w:themeColor="text1"/>
        </w:rPr>
        <w:t xml:space="preserve">informado, el nivel de cumplimiento alcanzado </w:t>
      </w:r>
      <w:r>
        <w:rPr>
          <w:color w:val="000000" w:themeColor="text1"/>
        </w:rPr>
        <w:t>por la DGSV fue de 9</w:t>
      </w:r>
      <w:r w:rsidR="00757AD4">
        <w:rPr>
          <w:color w:val="000000" w:themeColor="text1"/>
        </w:rPr>
        <w:t>7</w:t>
      </w:r>
      <w:r>
        <w:rPr>
          <w:color w:val="000000" w:themeColor="text1"/>
        </w:rPr>
        <w:t>%</w:t>
      </w:r>
      <w:r w:rsidR="006E076B">
        <w:rPr>
          <w:color w:val="000000" w:themeColor="text1"/>
        </w:rPr>
        <w:t xml:space="preserve"> y 98.2</w:t>
      </w:r>
      <w:r w:rsidR="00505B54">
        <w:rPr>
          <w:color w:val="000000" w:themeColor="text1"/>
        </w:rPr>
        <w:t>% respectivamente</w:t>
      </w:r>
      <w:r>
        <w:rPr>
          <w:color w:val="000000" w:themeColor="text1"/>
        </w:rPr>
        <w:t xml:space="preserve">, </w:t>
      </w:r>
      <w:r w:rsidRPr="008B47D9">
        <w:rPr>
          <w:color w:val="000000" w:themeColor="text1"/>
        </w:rPr>
        <w:t xml:space="preserve">calificado como </w:t>
      </w:r>
      <w:r>
        <w:rPr>
          <w:b/>
          <w:color w:val="000000" w:themeColor="text1"/>
        </w:rPr>
        <w:t>Muy b</w:t>
      </w:r>
      <w:r w:rsidRPr="009929DA">
        <w:rPr>
          <w:b/>
          <w:color w:val="000000" w:themeColor="text1"/>
        </w:rPr>
        <w:t>ueno</w:t>
      </w:r>
      <w:r>
        <w:rPr>
          <w:b/>
          <w:color w:val="000000" w:themeColor="text1"/>
        </w:rPr>
        <w:t>.</w:t>
      </w:r>
      <w:r>
        <w:rPr>
          <w:color w:val="000000" w:themeColor="text1"/>
        </w:rPr>
        <w:t xml:space="preserve"> Lo anterior es reflejo del buen trabajo realizado por las diferentes unidades que conforman la institución.</w:t>
      </w:r>
    </w:p>
    <w:p w:rsidR="00945E53" w:rsidRDefault="00945E53" w:rsidP="00945E53">
      <w:pPr>
        <w:pStyle w:val="Textoindependiente3"/>
        <w:spacing w:line="228" w:lineRule="auto"/>
        <w:rPr>
          <w:color w:val="000000" w:themeColor="text1"/>
        </w:rPr>
      </w:pPr>
    </w:p>
    <w:p w:rsidR="00C34854" w:rsidRPr="004D6A02" w:rsidRDefault="00C34854" w:rsidP="00945E53">
      <w:pPr>
        <w:pStyle w:val="Textoindependiente3"/>
        <w:spacing w:line="228" w:lineRule="auto"/>
        <w:rPr>
          <w:color w:val="000000" w:themeColor="text1"/>
        </w:rPr>
      </w:pPr>
      <w:r w:rsidRPr="004D6A02">
        <w:rPr>
          <w:color w:val="000000" w:themeColor="text1"/>
        </w:rPr>
        <w:t xml:space="preserve">Se realizara visitas de </w:t>
      </w:r>
      <w:r w:rsidR="004D6A02" w:rsidRPr="004D6A02">
        <w:rPr>
          <w:color w:val="000000" w:themeColor="text1"/>
        </w:rPr>
        <w:t>verificación</w:t>
      </w:r>
      <w:r w:rsidRPr="004D6A02">
        <w:rPr>
          <w:color w:val="000000" w:themeColor="text1"/>
        </w:rPr>
        <w:t xml:space="preserve">  de evidencias  de cada resultado y productos, en el marco de cumplimiento de la  normativa de la corte de cuentas y de auditorías.</w:t>
      </w:r>
    </w:p>
    <w:p w:rsidR="00C34854" w:rsidRPr="004D6A02" w:rsidRDefault="00C34854" w:rsidP="00945E53">
      <w:pPr>
        <w:pStyle w:val="Textoindependiente3"/>
        <w:spacing w:line="228" w:lineRule="auto"/>
        <w:rPr>
          <w:color w:val="000000" w:themeColor="text1"/>
        </w:rPr>
      </w:pPr>
    </w:p>
    <w:p w:rsidR="00945E53" w:rsidRPr="00A8193F" w:rsidRDefault="00945E53" w:rsidP="00945E53">
      <w:pPr>
        <w:pStyle w:val="Textoindependiente3"/>
        <w:spacing w:line="228" w:lineRule="auto"/>
        <w:rPr>
          <w:b/>
          <w:color w:val="0070C0"/>
          <w:sz w:val="20"/>
        </w:rPr>
      </w:pPr>
      <w:r>
        <w:rPr>
          <w:color w:val="000000" w:themeColor="text1"/>
        </w:rPr>
        <w:t>S</w:t>
      </w:r>
      <w:r w:rsidRPr="008B47D9">
        <w:rPr>
          <w:color w:val="000000" w:themeColor="text1"/>
        </w:rPr>
        <w:t xml:space="preserve">e </w:t>
      </w:r>
      <w:r>
        <w:rPr>
          <w:color w:val="000000" w:themeColor="text1"/>
        </w:rPr>
        <w:t xml:space="preserve">hace la invitación </w:t>
      </w:r>
      <w:r w:rsidRPr="008B47D9">
        <w:rPr>
          <w:color w:val="000000" w:themeColor="text1"/>
        </w:rPr>
        <w:t xml:space="preserve">al personal técnico y gerencial de la </w:t>
      </w:r>
      <w:r>
        <w:rPr>
          <w:color w:val="000000" w:themeColor="text1"/>
        </w:rPr>
        <w:t>DGSV</w:t>
      </w:r>
      <w:r w:rsidRPr="008B47D9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para que </w:t>
      </w:r>
      <w:r w:rsidR="00757AD4">
        <w:rPr>
          <w:color w:val="000000" w:themeColor="text1"/>
        </w:rPr>
        <w:t>mantengan</w:t>
      </w:r>
      <w:r>
        <w:rPr>
          <w:color w:val="000000" w:themeColor="text1"/>
        </w:rPr>
        <w:t xml:space="preserve"> l</w:t>
      </w:r>
      <w:r w:rsidRPr="008B47D9">
        <w:rPr>
          <w:color w:val="000000" w:themeColor="text1"/>
        </w:rPr>
        <w:t xml:space="preserve">a mística de trabajo </w:t>
      </w:r>
      <w:r>
        <w:rPr>
          <w:color w:val="000000" w:themeColor="text1"/>
        </w:rPr>
        <w:t xml:space="preserve">y se </w:t>
      </w:r>
      <w:r w:rsidR="00757AD4">
        <w:rPr>
          <w:color w:val="000000" w:themeColor="text1"/>
        </w:rPr>
        <w:t>completen</w:t>
      </w:r>
      <w:r>
        <w:rPr>
          <w:color w:val="000000" w:themeColor="text1"/>
        </w:rPr>
        <w:t xml:space="preserve"> los resultados en lo que resta del </w:t>
      </w:r>
      <w:r w:rsidRPr="008B47D9">
        <w:rPr>
          <w:color w:val="000000" w:themeColor="text1"/>
        </w:rPr>
        <w:t>año 201</w:t>
      </w:r>
      <w:r>
        <w:rPr>
          <w:color w:val="000000" w:themeColor="text1"/>
        </w:rPr>
        <w:t>9</w:t>
      </w:r>
      <w:r w:rsidRPr="008B47D9">
        <w:rPr>
          <w:color w:val="000000" w:themeColor="text1"/>
        </w:rPr>
        <w:t xml:space="preserve">. </w:t>
      </w:r>
    </w:p>
    <w:p w:rsidR="00945E53" w:rsidRPr="00A8193F" w:rsidRDefault="00945E53" w:rsidP="00945E53">
      <w:pPr>
        <w:spacing w:line="228" w:lineRule="auto"/>
        <w:ind w:left="1416" w:hanging="1416"/>
        <w:jc w:val="both"/>
        <w:rPr>
          <w:rFonts w:ascii="Arial" w:hAnsi="Arial" w:cs="Arial"/>
          <w:b/>
          <w:color w:val="0070C0"/>
          <w:sz w:val="20"/>
          <w:szCs w:val="22"/>
        </w:rPr>
      </w:pPr>
    </w:p>
    <w:p w:rsidR="00945E53" w:rsidRDefault="00945E53" w:rsidP="005A262F">
      <w:pPr>
        <w:spacing w:line="228" w:lineRule="auto"/>
        <w:ind w:left="709" w:hanging="709"/>
        <w:jc w:val="both"/>
        <w:rPr>
          <w:rFonts w:ascii="Arial" w:hAnsi="Arial" w:cs="Arial"/>
          <w:sz w:val="20"/>
          <w:szCs w:val="22"/>
        </w:rPr>
      </w:pPr>
      <w:r w:rsidRPr="00A372C8">
        <w:rPr>
          <w:rFonts w:ascii="Arial" w:hAnsi="Arial" w:cs="Arial"/>
          <w:b/>
          <w:sz w:val="20"/>
          <w:szCs w:val="22"/>
        </w:rPr>
        <w:t>Anexo 1.</w:t>
      </w:r>
      <w:r w:rsidRPr="00A372C8">
        <w:rPr>
          <w:rFonts w:ascii="Arial" w:hAnsi="Arial" w:cs="Arial"/>
          <w:sz w:val="20"/>
          <w:szCs w:val="22"/>
        </w:rPr>
        <w:t xml:space="preserve"> Avance físico en porcentaje en el </w:t>
      </w:r>
      <w:r w:rsidR="00757AD4">
        <w:rPr>
          <w:rFonts w:ascii="Arial" w:hAnsi="Arial" w:cs="Arial"/>
          <w:sz w:val="20"/>
          <w:szCs w:val="22"/>
        </w:rPr>
        <w:t>trimestre</w:t>
      </w:r>
      <w:r w:rsidRPr="00A372C8">
        <w:rPr>
          <w:rFonts w:ascii="Arial" w:hAnsi="Arial" w:cs="Arial"/>
          <w:sz w:val="20"/>
          <w:szCs w:val="22"/>
        </w:rPr>
        <w:t xml:space="preserve"> de </w:t>
      </w:r>
      <w:r w:rsidR="00757AD4">
        <w:rPr>
          <w:rFonts w:ascii="Arial" w:hAnsi="Arial" w:cs="Arial"/>
          <w:sz w:val="20"/>
          <w:szCs w:val="22"/>
        </w:rPr>
        <w:t>abril</w:t>
      </w:r>
      <w:r w:rsidRPr="00A372C8">
        <w:rPr>
          <w:rFonts w:ascii="Arial" w:hAnsi="Arial" w:cs="Arial"/>
          <w:sz w:val="20"/>
          <w:szCs w:val="22"/>
        </w:rPr>
        <w:t>-</w:t>
      </w:r>
      <w:r w:rsidR="00757AD4">
        <w:rPr>
          <w:rFonts w:ascii="Arial" w:hAnsi="Arial" w:cs="Arial"/>
          <w:sz w:val="20"/>
          <w:szCs w:val="22"/>
        </w:rPr>
        <w:t>junio</w:t>
      </w:r>
      <w:r w:rsidRPr="00A372C8">
        <w:rPr>
          <w:rFonts w:ascii="Arial" w:hAnsi="Arial" w:cs="Arial"/>
          <w:sz w:val="20"/>
          <w:szCs w:val="22"/>
        </w:rPr>
        <w:t xml:space="preserve"> </w:t>
      </w:r>
      <w:r w:rsidR="005A262F">
        <w:rPr>
          <w:rFonts w:ascii="Arial" w:hAnsi="Arial" w:cs="Arial"/>
          <w:sz w:val="20"/>
          <w:szCs w:val="22"/>
        </w:rPr>
        <w:t xml:space="preserve">y periodo enero-junio </w:t>
      </w:r>
      <w:r w:rsidRPr="00A372C8">
        <w:rPr>
          <w:rFonts w:ascii="Arial" w:hAnsi="Arial" w:cs="Arial"/>
          <w:sz w:val="20"/>
          <w:szCs w:val="22"/>
        </w:rPr>
        <w:t>de 201</w:t>
      </w:r>
      <w:r>
        <w:rPr>
          <w:rFonts w:ascii="Arial" w:hAnsi="Arial" w:cs="Arial"/>
          <w:sz w:val="20"/>
          <w:szCs w:val="22"/>
        </w:rPr>
        <w:t>9</w:t>
      </w:r>
      <w:r w:rsidRPr="00A372C8">
        <w:rPr>
          <w:rFonts w:ascii="Arial" w:hAnsi="Arial" w:cs="Arial"/>
          <w:sz w:val="20"/>
          <w:szCs w:val="22"/>
        </w:rPr>
        <w:t>, según Resultado.</w:t>
      </w:r>
    </w:p>
    <w:tbl>
      <w:tblPr>
        <w:tblW w:w="542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7"/>
        <w:gridCol w:w="6723"/>
        <w:gridCol w:w="1134"/>
        <w:gridCol w:w="992"/>
        <w:gridCol w:w="1134"/>
      </w:tblGrid>
      <w:tr w:rsidR="006E076B" w:rsidRPr="00D86C71" w:rsidTr="006E076B">
        <w:trPr>
          <w:gridAfter w:val="1"/>
          <w:wAfter w:w="548" w:type="pct"/>
          <w:cantSplit/>
          <w:trHeight w:val="467"/>
          <w:tblHeader/>
        </w:trPr>
        <w:tc>
          <w:tcPr>
            <w:tcW w:w="177" w:type="pct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86C71" w:rsidRDefault="006E076B" w:rsidP="00937C33">
            <w:pPr>
              <w:pStyle w:val="Ttulo1"/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D86C7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8" w:type="pct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76B" w:rsidRPr="00757AD4" w:rsidRDefault="006E076B" w:rsidP="00937C33">
            <w:pPr>
              <w:pStyle w:val="Ttulo1"/>
              <w:spacing w:line="228" w:lineRule="auto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6E076B" w:rsidRPr="00757AD4" w:rsidRDefault="006E076B" w:rsidP="00937C33">
            <w:pPr>
              <w:pStyle w:val="Ttulo1"/>
              <w:spacing w:line="228" w:lineRule="auto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6E076B" w:rsidRPr="00757AD4" w:rsidRDefault="006E076B" w:rsidP="00937C33">
            <w:pPr>
              <w:pStyle w:val="Ttulo1"/>
              <w:spacing w:line="22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757AD4">
              <w:rPr>
                <w:rFonts w:ascii="Arial" w:hAnsi="Arial" w:cs="Arial"/>
                <w:b w:val="0"/>
                <w:sz w:val="20"/>
                <w:szCs w:val="20"/>
              </w:rPr>
              <w:t>RESULTADO</w:t>
            </w:r>
          </w:p>
          <w:p w:rsidR="006E076B" w:rsidRPr="00757AD4" w:rsidRDefault="006E076B" w:rsidP="00937C33">
            <w:pPr>
              <w:spacing w:line="22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C54A67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4A67">
              <w:rPr>
                <w:rFonts w:ascii="Arial" w:hAnsi="Arial" w:cs="Arial"/>
                <w:b/>
                <w:sz w:val="16"/>
                <w:szCs w:val="16"/>
              </w:rPr>
              <w:t>TRIMESTRE</w:t>
            </w:r>
          </w:p>
          <w:p w:rsidR="006E076B" w:rsidRPr="00C54A67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ABRIL</w:t>
            </w:r>
            <w:r w:rsidRPr="00C54A67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>JUNIO</w:t>
            </w:r>
          </w:p>
        </w:tc>
        <w:tc>
          <w:tcPr>
            <w:tcW w:w="47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C54A67" w:rsidRDefault="006E076B" w:rsidP="004E6B16">
            <w:pPr>
              <w:spacing w:line="22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PERIODO</w:t>
            </w:r>
          </w:p>
          <w:p w:rsidR="006E076B" w:rsidRPr="00C54A67" w:rsidRDefault="006E076B" w:rsidP="004E6B16">
            <w:pPr>
              <w:spacing w:line="22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ENERO</w:t>
            </w:r>
            <w:r w:rsidRPr="00C54A67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>JUNIO</w:t>
            </w:r>
          </w:p>
        </w:tc>
      </w:tr>
      <w:tr w:rsidR="006E076B" w:rsidRPr="00D86C71" w:rsidTr="006E076B">
        <w:trPr>
          <w:gridAfter w:val="1"/>
          <w:wAfter w:w="548" w:type="pct"/>
          <w:cantSplit/>
          <w:trHeight w:val="517"/>
          <w:tblHeader/>
        </w:trPr>
        <w:tc>
          <w:tcPr>
            <w:tcW w:w="177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6E076B" w:rsidRPr="00D86C71" w:rsidRDefault="006E076B" w:rsidP="00937C33">
            <w:pPr>
              <w:spacing w:line="22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8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6E076B" w:rsidRPr="00757AD4" w:rsidRDefault="006E076B" w:rsidP="00937C33">
            <w:pPr>
              <w:spacing w:line="22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E076B" w:rsidRPr="00D86C71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6C71">
              <w:rPr>
                <w:rFonts w:ascii="Arial" w:hAnsi="Arial" w:cs="Arial"/>
                <w:b/>
                <w:sz w:val="20"/>
                <w:szCs w:val="20"/>
              </w:rPr>
              <w:t>AVANCE FISICO (%)</w:t>
            </w:r>
          </w:p>
          <w:p w:rsidR="006E076B" w:rsidRPr="00D86C71" w:rsidRDefault="006E076B" w:rsidP="006E076B">
            <w:pPr>
              <w:spacing w:line="22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076B" w:rsidRPr="00D90AB9" w:rsidTr="006E076B">
        <w:trPr>
          <w:gridAfter w:val="1"/>
          <w:wAfter w:w="548" w:type="pct"/>
          <w:cantSplit/>
          <w:trHeight w:val="277"/>
        </w:trPr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CF7055" w:rsidRDefault="006E076B" w:rsidP="00937C33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F705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757AD4" w:rsidRDefault="006E076B" w:rsidP="00937C33">
            <w:pPr>
              <w:pStyle w:val="Ttulo5"/>
              <w:jc w:val="both"/>
              <w:rPr>
                <w:b w:val="0"/>
                <w:color w:val="000000" w:themeColor="text1"/>
              </w:rPr>
            </w:pPr>
            <w:r w:rsidRPr="00757AD4">
              <w:rPr>
                <w:b w:val="0"/>
                <w:szCs w:val="20"/>
                <w:lang w:val="es-SV" w:eastAsia="es-SV"/>
              </w:rPr>
              <w:t>Garantizar la calidad de la semilla y material vegetativo que se comercializa en el País.</w:t>
            </w:r>
          </w:p>
        </w:tc>
        <w:tc>
          <w:tcPr>
            <w:tcW w:w="5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7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4E6B16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E076B" w:rsidRPr="00C54A67" w:rsidTr="006E076B">
        <w:trPr>
          <w:gridAfter w:val="1"/>
          <w:wAfter w:w="548" w:type="pct"/>
          <w:cantSplit/>
          <w:trHeight w:val="332"/>
        </w:trPr>
        <w:tc>
          <w:tcPr>
            <w:tcW w:w="17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C54A67" w:rsidRDefault="006E076B" w:rsidP="00937C33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4A6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757AD4" w:rsidRDefault="006E076B" w:rsidP="00937C33">
            <w:pPr>
              <w:pStyle w:val="Ttulo5"/>
              <w:jc w:val="both"/>
              <w:rPr>
                <w:b w:val="0"/>
                <w:color w:val="000000" w:themeColor="text1"/>
              </w:rPr>
            </w:pPr>
            <w:r w:rsidRPr="00757AD4">
              <w:rPr>
                <w:b w:val="0"/>
                <w:szCs w:val="20"/>
                <w:lang w:val="es-SV" w:eastAsia="es-SV"/>
              </w:rPr>
              <w:t>Reducción de los riesgos de contaminación de frutas y hortalizas de consumo humano.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4E6B16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E076B" w:rsidRPr="00C54A67" w:rsidTr="006E076B">
        <w:trPr>
          <w:gridAfter w:val="1"/>
          <w:wAfter w:w="548" w:type="pct"/>
          <w:cantSplit/>
          <w:trHeight w:val="318"/>
        </w:trPr>
        <w:tc>
          <w:tcPr>
            <w:tcW w:w="17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C54A67" w:rsidRDefault="006E076B" w:rsidP="00937C33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4A6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757AD4" w:rsidRDefault="006E076B" w:rsidP="00937C33">
            <w:pPr>
              <w:pStyle w:val="Ttulo5"/>
              <w:jc w:val="both"/>
              <w:rPr>
                <w:b w:val="0"/>
                <w:bCs w:val="0"/>
                <w:color w:val="000000" w:themeColor="text1"/>
              </w:rPr>
            </w:pPr>
            <w:r w:rsidRPr="00757AD4">
              <w:rPr>
                <w:b w:val="0"/>
                <w:szCs w:val="20"/>
                <w:lang w:val="es-SV" w:eastAsia="es-SV"/>
              </w:rPr>
              <w:t>Protección del patrimonio agrícola del país contra plagas y enfermedades de importancia económica y cuarentenaria.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4E6B16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E076B" w:rsidRPr="00C54A67" w:rsidTr="006E076B">
        <w:trPr>
          <w:gridAfter w:val="1"/>
          <w:wAfter w:w="548" w:type="pct"/>
          <w:cantSplit/>
          <w:trHeight w:val="332"/>
        </w:trPr>
        <w:tc>
          <w:tcPr>
            <w:tcW w:w="17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C54A67" w:rsidRDefault="006E076B" w:rsidP="00937C33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4A6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757AD4" w:rsidRDefault="006E076B" w:rsidP="00937C33">
            <w:pPr>
              <w:pStyle w:val="Ttulo5"/>
              <w:jc w:val="both"/>
              <w:rPr>
                <w:b w:val="0"/>
                <w:bCs w:val="0"/>
                <w:color w:val="000000" w:themeColor="text1"/>
              </w:rPr>
            </w:pPr>
            <w:r w:rsidRPr="00757AD4">
              <w:rPr>
                <w:b w:val="0"/>
                <w:szCs w:val="20"/>
                <w:lang w:val="es-SV" w:eastAsia="es-SV"/>
              </w:rPr>
              <w:t>Aplicación del marco legal para garantizar la protección fitosanitaria del sector agrícola.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4E6B16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E076B" w:rsidRPr="00C54A67" w:rsidTr="006E076B">
        <w:trPr>
          <w:gridAfter w:val="1"/>
          <w:wAfter w:w="548" w:type="pct"/>
          <w:cantSplit/>
          <w:trHeight w:val="332"/>
        </w:trPr>
        <w:tc>
          <w:tcPr>
            <w:tcW w:w="17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C54A67" w:rsidRDefault="006E076B" w:rsidP="00937C33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4A6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757AD4" w:rsidRDefault="006E076B" w:rsidP="00937C33">
            <w:pPr>
              <w:pStyle w:val="Ttulo5"/>
              <w:jc w:val="both"/>
              <w:rPr>
                <w:b w:val="0"/>
                <w:bCs w:val="0"/>
                <w:color w:val="000000" w:themeColor="text1"/>
              </w:rPr>
            </w:pPr>
            <w:r w:rsidRPr="00757AD4">
              <w:rPr>
                <w:b w:val="0"/>
                <w:szCs w:val="20"/>
                <w:lang w:val="es-SV" w:eastAsia="es-SV"/>
              </w:rPr>
              <w:t>Reducción de las pérdidas postcosecha de granos básicos en fase de almacenamiento.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4E6B16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E076B" w:rsidRPr="00C54A67" w:rsidTr="006E076B">
        <w:trPr>
          <w:gridAfter w:val="1"/>
          <w:wAfter w:w="548" w:type="pct"/>
          <w:cantSplit/>
          <w:trHeight w:val="332"/>
        </w:trPr>
        <w:tc>
          <w:tcPr>
            <w:tcW w:w="17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C54A67" w:rsidRDefault="006E076B" w:rsidP="00937C33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4A6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757AD4" w:rsidRDefault="006E076B" w:rsidP="00937C33">
            <w:pPr>
              <w:pStyle w:val="Ttulo5"/>
              <w:jc w:val="both"/>
              <w:rPr>
                <w:b w:val="0"/>
                <w:bCs w:val="0"/>
                <w:color w:val="000000" w:themeColor="text1"/>
              </w:rPr>
            </w:pPr>
            <w:r w:rsidRPr="00757AD4">
              <w:rPr>
                <w:b w:val="0"/>
                <w:szCs w:val="20"/>
                <w:lang w:val="es-SV" w:eastAsia="es-SV"/>
              </w:rPr>
              <w:t>Vigilancia de la producción Orgánica Agrícola.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4E6B16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70</w:t>
            </w:r>
          </w:p>
        </w:tc>
      </w:tr>
      <w:tr w:rsidR="006E076B" w:rsidRPr="00CF7055" w:rsidTr="006E076B">
        <w:trPr>
          <w:gridAfter w:val="1"/>
          <w:wAfter w:w="548" w:type="pct"/>
          <w:cantSplit/>
          <w:trHeight w:val="332"/>
        </w:trPr>
        <w:tc>
          <w:tcPr>
            <w:tcW w:w="17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CF7055" w:rsidRDefault="006E076B" w:rsidP="00937C33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F705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757AD4" w:rsidRDefault="006E076B" w:rsidP="00937C33">
            <w:pPr>
              <w:jc w:val="both"/>
              <w:rPr>
                <w:rFonts w:ascii="Arial" w:hAnsi="Arial" w:cs="Arial"/>
                <w:sz w:val="20"/>
                <w:szCs w:val="20"/>
                <w:lang w:val="es-SV" w:eastAsia="es-SV"/>
              </w:rPr>
            </w:pPr>
            <w:r w:rsidRPr="00757AD4">
              <w:rPr>
                <w:rFonts w:ascii="Arial" w:hAnsi="Arial" w:cs="Arial"/>
                <w:sz w:val="20"/>
                <w:szCs w:val="20"/>
                <w:lang w:val="es-SV" w:eastAsia="es-SV"/>
              </w:rPr>
              <w:t>Mayor cobertura de usuarios con servicios que brinda la DGSV.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4E6B16">
            <w:pPr>
              <w:spacing w:line="228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  <w:tr w:rsidR="006E076B" w:rsidRPr="00D86C71" w:rsidTr="006E076B">
        <w:trPr>
          <w:cantSplit/>
          <w:trHeight w:val="463"/>
        </w:trPr>
        <w:tc>
          <w:tcPr>
            <w:tcW w:w="3425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E076B" w:rsidRPr="00757AD4" w:rsidRDefault="006E076B" w:rsidP="00937C33">
            <w:pPr>
              <w:pStyle w:val="Ttulo4"/>
              <w:spacing w:line="228" w:lineRule="auto"/>
              <w:jc w:val="center"/>
              <w:rPr>
                <w:b w:val="0"/>
                <w:sz w:val="20"/>
                <w:szCs w:val="20"/>
              </w:rPr>
            </w:pPr>
            <w:r w:rsidRPr="00757AD4">
              <w:rPr>
                <w:b w:val="0"/>
                <w:sz w:val="20"/>
                <w:szCs w:val="20"/>
              </w:rPr>
              <w:t>TOTAL INSTITUCION</w:t>
            </w:r>
          </w:p>
        </w:tc>
        <w:tc>
          <w:tcPr>
            <w:tcW w:w="54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E076B" w:rsidRPr="00D90AB9" w:rsidRDefault="006E076B" w:rsidP="005E61EC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0AB9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076B" w:rsidRPr="00D90AB9" w:rsidRDefault="006E076B" w:rsidP="00FD087E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98.2</w:t>
            </w:r>
          </w:p>
        </w:tc>
        <w:tc>
          <w:tcPr>
            <w:tcW w:w="548" w:type="pct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6E076B" w:rsidRPr="00D90AB9" w:rsidRDefault="006E076B" w:rsidP="004E6B16">
            <w:pPr>
              <w:spacing w:line="22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45E53" w:rsidRPr="00E3387E" w:rsidRDefault="00945E53" w:rsidP="00945E53">
      <w:pPr>
        <w:spacing w:line="228" w:lineRule="auto"/>
        <w:jc w:val="both"/>
        <w:rPr>
          <w:rFonts w:ascii="Arial" w:hAnsi="Arial" w:cs="Arial"/>
          <w:sz w:val="20"/>
          <w:szCs w:val="20"/>
        </w:rPr>
      </w:pPr>
      <w:r w:rsidRPr="00D870F1">
        <w:rPr>
          <w:rFonts w:ascii="Arial" w:hAnsi="Arial" w:cs="Arial"/>
          <w:b/>
          <w:sz w:val="20"/>
          <w:szCs w:val="20"/>
        </w:rPr>
        <w:t xml:space="preserve">FUENTE: </w:t>
      </w:r>
      <w:r>
        <w:rPr>
          <w:rFonts w:ascii="Arial" w:hAnsi="Arial" w:cs="Arial"/>
          <w:b/>
          <w:sz w:val="20"/>
          <w:szCs w:val="20"/>
        </w:rPr>
        <w:t>DGSV</w:t>
      </w:r>
      <w:r w:rsidRPr="00D870F1">
        <w:rPr>
          <w:rFonts w:ascii="Arial" w:hAnsi="Arial" w:cs="Arial"/>
          <w:b/>
          <w:sz w:val="20"/>
          <w:szCs w:val="20"/>
        </w:rPr>
        <w:t>.</w:t>
      </w:r>
      <w:r w:rsidRPr="00D870F1">
        <w:rPr>
          <w:rFonts w:ascii="Arial" w:hAnsi="Arial" w:cs="Arial"/>
          <w:sz w:val="20"/>
          <w:szCs w:val="20"/>
        </w:rPr>
        <w:t xml:space="preserve"> Informe de avance físico, </w:t>
      </w:r>
      <w:r w:rsidR="002D1F02">
        <w:rPr>
          <w:rFonts w:ascii="Arial" w:hAnsi="Arial" w:cs="Arial"/>
          <w:sz w:val="20"/>
          <w:szCs w:val="20"/>
        </w:rPr>
        <w:t>abril</w:t>
      </w:r>
      <w:r w:rsidRPr="00D870F1">
        <w:rPr>
          <w:rFonts w:ascii="Arial" w:hAnsi="Arial" w:cs="Arial"/>
          <w:sz w:val="20"/>
          <w:szCs w:val="20"/>
        </w:rPr>
        <w:t>-</w:t>
      </w:r>
      <w:r w:rsidR="002D1F02">
        <w:rPr>
          <w:rFonts w:ascii="Arial" w:hAnsi="Arial" w:cs="Arial"/>
          <w:sz w:val="20"/>
          <w:szCs w:val="20"/>
        </w:rPr>
        <w:t>junio</w:t>
      </w:r>
      <w:r w:rsidRPr="00D870F1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9</w:t>
      </w:r>
      <w:r w:rsidRPr="00D870F1">
        <w:rPr>
          <w:rFonts w:ascii="Arial" w:hAnsi="Arial" w:cs="Arial"/>
          <w:sz w:val="20"/>
          <w:szCs w:val="20"/>
        </w:rPr>
        <w:t xml:space="preserve">. </w:t>
      </w:r>
    </w:p>
    <w:p w:rsidR="005D4151" w:rsidRDefault="005D4151"/>
    <w:p w:rsidR="00D301D2" w:rsidRDefault="00D301D2"/>
    <w:p w:rsidR="00D301D2" w:rsidRDefault="00D301D2"/>
    <w:p w:rsidR="00D301D2" w:rsidRDefault="00D301D2"/>
    <w:p w:rsidR="00D301D2" w:rsidRDefault="00D301D2"/>
    <w:sectPr w:rsidR="00D301D2" w:rsidSect="00A372C8">
      <w:footerReference w:type="default" r:id="rId9"/>
      <w:pgSz w:w="12242" w:h="15842" w:code="1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D94" w:rsidRDefault="00DE0D94" w:rsidP="00DC05EE">
      <w:r>
        <w:separator/>
      </w:r>
    </w:p>
  </w:endnote>
  <w:endnote w:type="continuationSeparator" w:id="1">
    <w:p w:rsidR="00DE0D94" w:rsidRDefault="00DE0D94" w:rsidP="00DC0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71" w:rsidRDefault="006B1D44">
    <w:pPr>
      <w:pStyle w:val="Piedepgina"/>
      <w:jc w:val="right"/>
      <w:rPr>
        <w:b/>
        <w:bCs/>
        <w:i/>
        <w:iCs/>
        <w:sz w:val="20"/>
      </w:rPr>
    </w:pPr>
    <w:r>
      <w:rPr>
        <w:b/>
        <w:bCs/>
        <w:i/>
        <w:iCs/>
        <w:sz w:val="20"/>
      </w:rPr>
      <w:t xml:space="preserve">Página </w:t>
    </w:r>
    <w:r w:rsidR="002552C8">
      <w:rPr>
        <w:rStyle w:val="Nmerodepgina"/>
        <w:b/>
        <w:bCs/>
        <w:i/>
        <w:iCs/>
        <w:sz w:val="20"/>
      </w:rPr>
      <w:fldChar w:fldCharType="begin"/>
    </w:r>
    <w:r>
      <w:rPr>
        <w:rStyle w:val="Nmerodepgina"/>
        <w:i/>
        <w:iCs/>
        <w:sz w:val="20"/>
      </w:rPr>
      <w:instrText xml:space="preserve"> PAGE </w:instrText>
    </w:r>
    <w:r w:rsidR="002552C8">
      <w:rPr>
        <w:rStyle w:val="Nmerodepgina"/>
        <w:b/>
        <w:bCs/>
        <w:i/>
        <w:iCs/>
        <w:sz w:val="20"/>
      </w:rPr>
      <w:fldChar w:fldCharType="separate"/>
    </w:r>
    <w:r w:rsidR="004D6A02">
      <w:rPr>
        <w:rStyle w:val="Nmerodepgina"/>
        <w:i/>
        <w:iCs/>
        <w:noProof/>
        <w:sz w:val="20"/>
      </w:rPr>
      <w:t>2</w:t>
    </w:r>
    <w:r w:rsidR="002552C8">
      <w:rPr>
        <w:rStyle w:val="Nmerodepgina"/>
        <w:b/>
        <w:bCs/>
        <w:i/>
        <w:iCs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D94" w:rsidRDefault="00DE0D94" w:rsidP="00DC05EE">
      <w:r>
        <w:separator/>
      </w:r>
    </w:p>
  </w:footnote>
  <w:footnote w:type="continuationSeparator" w:id="1">
    <w:p w:rsidR="00DE0D94" w:rsidRDefault="00DE0D94" w:rsidP="00DC05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F2F49"/>
    <w:multiLevelType w:val="hybridMultilevel"/>
    <w:tmpl w:val="746E417E"/>
    <w:lvl w:ilvl="0" w:tplc="1780C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74C32"/>
    <w:multiLevelType w:val="hybridMultilevel"/>
    <w:tmpl w:val="D69A4D8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E53"/>
    <w:rsid w:val="00045BB8"/>
    <w:rsid w:val="000D63D8"/>
    <w:rsid w:val="002552C8"/>
    <w:rsid w:val="002C0672"/>
    <w:rsid w:val="002D1F02"/>
    <w:rsid w:val="004C74F5"/>
    <w:rsid w:val="004D6A02"/>
    <w:rsid w:val="00505B54"/>
    <w:rsid w:val="005214BA"/>
    <w:rsid w:val="005A262F"/>
    <w:rsid w:val="005D4151"/>
    <w:rsid w:val="006B1D44"/>
    <w:rsid w:val="006B46EB"/>
    <w:rsid w:val="006E076B"/>
    <w:rsid w:val="00711C23"/>
    <w:rsid w:val="00757AD4"/>
    <w:rsid w:val="00942BD6"/>
    <w:rsid w:val="00945E53"/>
    <w:rsid w:val="00954357"/>
    <w:rsid w:val="00967A60"/>
    <w:rsid w:val="00AC5736"/>
    <w:rsid w:val="00BD1F78"/>
    <w:rsid w:val="00BE698F"/>
    <w:rsid w:val="00C34854"/>
    <w:rsid w:val="00D301D2"/>
    <w:rsid w:val="00DC05EE"/>
    <w:rsid w:val="00DE0D94"/>
    <w:rsid w:val="00E754CB"/>
    <w:rsid w:val="00FB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45E53"/>
    <w:pPr>
      <w:keepNext/>
      <w:jc w:val="center"/>
      <w:outlineLvl w:val="0"/>
    </w:pPr>
    <w:rPr>
      <w:b/>
      <w:bCs/>
      <w:sz w:val="32"/>
    </w:rPr>
  </w:style>
  <w:style w:type="paragraph" w:styleId="Ttulo4">
    <w:name w:val="heading 4"/>
    <w:basedOn w:val="Normal"/>
    <w:next w:val="Normal"/>
    <w:link w:val="Ttulo4Car"/>
    <w:qFormat/>
    <w:rsid w:val="00945E53"/>
    <w:pPr>
      <w:keepNext/>
      <w:jc w:val="both"/>
      <w:outlineLvl w:val="3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link w:val="Ttulo5Car"/>
    <w:qFormat/>
    <w:rsid w:val="00945E53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45E53"/>
    <w:rPr>
      <w:rFonts w:ascii="Times New Roman" w:eastAsia="Times New Roman" w:hAnsi="Times New Roman" w:cs="Times New Roman"/>
      <w:b/>
      <w:bCs/>
      <w:sz w:val="32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45E53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45E53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Ttulo">
    <w:name w:val="Title"/>
    <w:basedOn w:val="Normal"/>
    <w:link w:val="TtuloCar"/>
    <w:qFormat/>
    <w:rsid w:val="00945E53"/>
    <w:pPr>
      <w:jc w:val="center"/>
    </w:pPr>
    <w:rPr>
      <w:sz w:val="32"/>
    </w:rPr>
  </w:style>
  <w:style w:type="character" w:customStyle="1" w:styleId="TtuloCar">
    <w:name w:val="Título Car"/>
    <w:basedOn w:val="Fuentedeprrafopredeter"/>
    <w:link w:val="Ttulo"/>
    <w:rsid w:val="00945E53"/>
    <w:rPr>
      <w:rFonts w:ascii="Times New Roman" w:eastAsia="Times New Roman" w:hAnsi="Times New Roman" w:cs="Times New Roman"/>
      <w:sz w:val="32"/>
      <w:szCs w:val="24"/>
      <w:lang w:val="es-ES" w:eastAsia="es-ES"/>
    </w:rPr>
  </w:style>
  <w:style w:type="paragraph" w:styleId="Subttulo">
    <w:name w:val="Subtitle"/>
    <w:basedOn w:val="Normal"/>
    <w:link w:val="SubttuloCar"/>
    <w:qFormat/>
    <w:rsid w:val="00945E53"/>
    <w:pPr>
      <w:jc w:val="center"/>
    </w:pPr>
    <w:rPr>
      <w:b/>
      <w:bCs/>
      <w:sz w:val="32"/>
    </w:rPr>
  </w:style>
  <w:style w:type="character" w:customStyle="1" w:styleId="SubttuloCar">
    <w:name w:val="Subtítulo Car"/>
    <w:basedOn w:val="Fuentedeprrafopredeter"/>
    <w:link w:val="Subttulo"/>
    <w:rsid w:val="00945E53"/>
    <w:rPr>
      <w:rFonts w:ascii="Times New Roman" w:eastAsia="Times New Roman" w:hAnsi="Times New Roman" w:cs="Times New Roman"/>
      <w:b/>
      <w:bCs/>
      <w:sz w:val="32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945E53"/>
    <w:pPr>
      <w:ind w:left="720"/>
      <w:contextualSpacing/>
    </w:pPr>
  </w:style>
  <w:style w:type="paragraph" w:styleId="Piedepgina">
    <w:name w:val="footer"/>
    <w:basedOn w:val="Normal"/>
    <w:link w:val="PiedepginaCar"/>
    <w:rsid w:val="00945E5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45E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945E53"/>
  </w:style>
  <w:style w:type="paragraph" w:styleId="Sangradetextonormal">
    <w:name w:val="Body Text Indent"/>
    <w:basedOn w:val="Normal"/>
    <w:link w:val="SangradetextonormalCar"/>
    <w:rsid w:val="00945E53"/>
    <w:pPr>
      <w:spacing w:line="259" w:lineRule="auto"/>
      <w:ind w:left="2124" w:hanging="2124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945E53"/>
    <w:rPr>
      <w:rFonts w:ascii="Arial" w:eastAsia="Times New Roman" w:hAnsi="Arial" w:cs="Arial"/>
      <w:b/>
      <w:bCs/>
      <w:lang w:val="es-ES" w:eastAsia="es-ES"/>
    </w:rPr>
  </w:style>
  <w:style w:type="paragraph" w:styleId="Textoindependiente3">
    <w:name w:val="Body Text 3"/>
    <w:basedOn w:val="Normal"/>
    <w:link w:val="Textoindependiente3Car"/>
    <w:rsid w:val="00945E53"/>
    <w:pPr>
      <w:jc w:val="both"/>
    </w:pPr>
    <w:rPr>
      <w:rFonts w:ascii="Arial" w:hAnsi="Arial" w:cs="Arial"/>
      <w:bCs/>
      <w:color w:val="0000FF"/>
      <w:sz w:val="22"/>
      <w:szCs w:val="22"/>
    </w:rPr>
  </w:style>
  <w:style w:type="character" w:customStyle="1" w:styleId="Textoindependiente3Car">
    <w:name w:val="Texto independiente 3 Car"/>
    <w:basedOn w:val="Fuentedeprrafopredeter"/>
    <w:link w:val="Textoindependiente3"/>
    <w:rsid w:val="00945E53"/>
    <w:rPr>
      <w:rFonts w:ascii="Arial" w:eastAsia="Times New Roman" w:hAnsi="Arial" w:cs="Arial"/>
      <w:bCs/>
      <w:color w:val="0000FF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45E5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45E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5E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5E5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SV"/>
  <c:chart>
    <c:autoTitleDeleted val="1"/>
    <c:plotArea>
      <c:layout>
        <c:manualLayout>
          <c:layoutTarget val="inner"/>
          <c:xMode val="edge"/>
          <c:yMode val="edge"/>
          <c:x val="0.11226686121103883"/>
          <c:y val="3.9540948069750489E-2"/>
          <c:w val="0.87069373516809356"/>
          <c:h val="0.85056816755408371"/>
        </c:manualLayout>
      </c:layout>
      <c:barChart>
        <c:barDir val="col"/>
        <c:grouping val="clustered"/>
        <c:ser>
          <c:idx val="1"/>
          <c:order val="0"/>
          <c:spPr>
            <a:solidFill>
              <a:schemeClr val="accent3">
                <a:lumMod val="50000"/>
              </a:schemeClr>
            </a:solidFill>
            <a:ln w="12699">
              <a:solidFill>
                <a:schemeClr val="tx1"/>
              </a:solidFill>
              <a:prstDash val="solid"/>
            </a:ln>
          </c:spPr>
          <c:dPt>
            <c:idx val="7"/>
            <c:spPr>
              <a:solidFill>
                <a:schemeClr val="accent6">
                  <a:lumMod val="60000"/>
                  <a:lumOff val="40000"/>
                </a:schemeClr>
              </a:solidFill>
              <a:ln w="12699">
                <a:solidFill>
                  <a:schemeClr val="tx1"/>
                </a:solidFill>
                <a:prstDash val="solid"/>
              </a:ln>
            </c:spPr>
          </c:dPt>
          <c:dLbls>
            <c:dLbl>
              <c:idx val="5"/>
              <c:layout>
                <c:manualLayout>
                  <c:x val="6.389776357827481E-3"/>
                  <c:y val="2.6990553306342768E-2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-1.0796221322537136E-2"/>
                </c:manualLayout>
              </c:layout>
              <c:showVal val="1"/>
            </c:dLbl>
            <c:spPr>
              <a:noFill/>
            </c:spPr>
            <c:showVal val="1"/>
          </c:dLbls>
          <c:cat>
            <c:strRef>
              <c:f>Sheet1!$A$1:$H$1</c:f>
              <c:strCach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TOTAL</c:v>
                </c:pt>
              </c:strCache>
            </c:strRef>
          </c:cat>
          <c:val>
            <c:numRef>
              <c:f>Sheet1!$A$2:$H$2</c:f>
              <c:numCache>
                <c:formatCode>0.0</c:formatCode>
                <c:ptCount val="8"/>
                <c:pt idx="0" formatCode="#,##0.0_);\(#,##0.0\)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50</c:v>
                </c:pt>
                <c:pt idx="6" formatCode="0">
                  <c:v>100</c:v>
                </c:pt>
                <c:pt idx="7">
                  <c:v>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C643-4D97-80AC-9C69758999E3}"/>
            </c:ext>
          </c:extLst>
        </c:ser>
        <c:dLbls>
          <c:showVal val="1"/>
        </c:dLbls>
        <c:gapWidth val="91"/>
        <c:axId val="52709632"/>
        <c:axId val="66098304"/>
      </c:barChart>
      <c:catAx>
        <c:axId val="52709632"/>
        <c:scaling>
          <c:orientation val="minMax"/>
        </c:scaling>
        <c:axPos val="b"/>
        <c:numFmt formatCode="_(* #,##0.0_);_(* \(#,##0.0\);_(* &quot;-&quot;??_);_(@_)" sourceLinked="0"/>
        <c:tickLblPos val="low"/>
        <c:spPr>
          <a:ln w="126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s-ES" sz="800" b="1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s-SV"/>
          </a:p>
        </c:txPr>
        <c:crossAx val="66098304"/>
        <c:crosses val="autoZero"/>
        <c:auto val="1"/>
        <c:lblAlgn val="ctr"/>
        <c:lblOffset val="100"/>
        <c:tickLblSkip val="1"/>
        <c:tickMarkSkip val="1"/>
      </c:catAx>
      <c:valAx>
        <c:axId val="66098304"/>
        <c:scaling>
          <c:orientation val="minMax"/>
          <c:max val="120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wordArtVert" anchor="ctr" anchorCtr="0"/>
              <a:lstStyle/>
              <a:p>
                <a:pPr algn="ctr">
                  <a:defRPr lang="es-ES" sz="1000" b="1" i="1" u="none" strike="noStrike" baseline="0">
                    <a:solidFill>
                      <a:srgbClr val="000000"/>
                    </a:solidFill>
                    <a:latin typeface="+mn-lt"/>
                    <a:ea typeface="Arial"/>
                    <a:cs typeface="Arial"/>
                  </a:defRPr>
                </a:pPr>
                <a:r>
                  <a:rPr lang="es-ES" sz="1000" b="1" i="1">
                    <a:latin typeface="+mn-lt"/>
                  </a:rPr>
                  <a:t>PORCENTAJE</a:t>
                </a:r>
              </a:p>
            </c:rich>
          </c:tx>
          <c:layout>
            <c:manualLayout>
              <c:xMode val="edge"/>
              <c:yMode val="edge"/>
              <c:x val="1.0155887063637868E-2"/>
              <c:y val="8.4153569872592288E-2"/>
            </c:manualLayout>
          </c:layout>
          <c:spPr>
            <a:noFill/>
            <a:ln w="25399">
              <a:noFill/>
            </a:ln>
          </c:spPr>
        </c:title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s-ES" sz="1100" b="0" i="0" u="none" strike="noStrike" baseline="0">
                <a:solidFill>
                  <a:srgbClr val="000000"/>
                </a:solidFill>
                <a:latin typeface="+mn-lt"/>
                <a:ea typeface="Arial"/>
                <a:cs typeface="Arial"/>
              </a:defRPr>
            </a:pPr>
            <a:endParaRPr lang="es-SV"/>
          </a:p>
        </c:txPr>
        <c:crossAx val="52709632"/>
        <c:crosses val="autoZero"/>
        <c:crossBetween val="between"/>
        <c:minorUnit val="4"/>
      </c:valAx>
      <c:spPr>
        <a:noFill/>
        <a:ln w="25400">
          <a:noFill/>
        </a:ln>
        <a:scene3d>
          <a:camera prst="orthographicFront"/>
          <a:lightRig rig="threePt" dir="t"/>
        </a:scene3d>
        <a:sp3d>
          <a:bevelT/>
        </a:sp3d>
      </c:spPr>
    </c:plotArea>
    <c:plotVisOnly val="1"/>
    <c:dispBlanksAs val="gap"/>
  </c:chart>
  <c:spPr>
    <a:noFill/>
    <a:ln w="12699">
      <a:solidFill>
        <a:srgbClr val="000000"/>
      </a:solidFill>
      <a:prstDash val="solid"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s-SV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SV"/>
  <c:chart>
    <c:autoTitleDeleted val="1"/>
    <c:plotArea>
      <c:layout>
        <c:manualLayout>
          <c:layoutTarget val="inner"/>
          <c:xMode val="edge"/>
          <c:yMode val="edge"/>
          <c:x val="0.11226686121103872"/>
          <c:y val="3.9540948069750496E-2"/>
          <c:w val="0.87069373516809412"/>
          <c:h val="0.85056816755408371"/>
        </c:manualLayout>
      </c:layout>
      <c:barChart>
        <c:barDir val="col"/>
        <c:grouping val="clustered"/>
        <c:ser>
          <c:idx val="1"/>
          <c:order val="0"/>
          <c:spPr>
            <a:solidFill>
              <a:schemeClr val="accent3">
                <a:lumMod val="50000"/>
              </a:schemeClr>
            </a:solidFill>
            <a:ln w="12699">
              <a:solidFill>
                <a:schemeClr val="tx1"/>
              </a:solidFill>
              <a:prstDash val="solid"/>
            </a:ln>
          </c:spPr>
          <c:dPt>
            <c:idx val="7"/>
            <c:spPr>
              <a:solidFill>
                <a:schemeClr val="accent6">
                  <a:lumMod val="60000"/>
                  <a:lumOff val="40000"/>
                </a:schemeClr>
              </a:solidFill>
              <a:ln w="12699">
                <a:solidFill>
                  <a:schemeClr val="tx1"/>
                </a:solidFill>
                <a:prstDash val="solid"/>
              </a:ln>
            </c:spPr>
          </c:dPt>
          <c:dLbls>
            <c:dLbl>
              <c:idx val="5"/>
              <c:layout>
                <c:manualLayout>
                  <c:x val="6.3897763578274784E-3"/>
                  <c:y val="2.6990553306342768E-2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-1.0796221322537125E-2"/>
                </c:manualLayout>
              </c:layout>
              <c:showVal val="1"/>
            </c:dLbl>
            <c:spPr>
              <a:noFill/>
            </c:spPr>
            <c:showVal val="1"/>
          </c:dLbls>
          <c:cat>
            <c:strRef>
              <c:f>Sheet1!$A$1:$H$1</c:f>
              <c:strCach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TOTAL</c:v>
                </c:pt>
              </c:strCache>
            </c:strRef>
          </c:cat>
          <c:val>
            <c:numRef>
              <c:f>Sheet1!$A$2:$H$2</c:f>
              <c:numCache>
                <c:formatCode>0.0</c:formatCode>
                <c:ptCount val="8"/>
                <c:pt idx="0" formatCode="#,##0.0_);\(#,##0.0\)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70</c:v>
                </c:pt>
                <c:pt idx="6" formatCode="0">
                  <c:v>100</c:v>
                </c:pt>
                <c:pt idx="7">
                  <c:v>98.2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C643-4D97-80AC-9C69758999E3}"/>
            </c:ext>
          </c:extLst>
        </c:ser>
        <c:dLbls>
          <c:showVal val="1"/>
        </c:dLbls>
        <c:gapWidth val="91"/>
        <c:axId val="73919104"/>
        <c:axId val="73921280"/>
      </c:barChart>
      <c:catAx>
        <c:axId val="73919104"/>
        <c:scaling>
          <c:orientation val="minMax"/>
        </c:scaling>
        <c:axPos val="b"/>
        <c:numFmt formatCode="_(* #,##0.0_);_(* \(#,##0.0\);_(* &quot;-&quot;??_);_(@_)" sourceLinked="0"/>
        <c:tickLblPos val="low"/>
        <c:spPr>
          <a:ln w="126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s-ES" sz="800" b="1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s-SV"/>
          </a:p>
        </c:txPr>
        <c:crossAx val="73921280"/>
        <c:crosses val="autoZero"/>
        <c:auto val="1"/>
        <c:lblAlgn val="ctr"/>
        <c:lblOffset val="100"/>
        <c:tickLblSkip val="1"/>
        <c:tickMarkSkip val="1"/>
      </c:catAx>
      <c:valAx>
        <c:axId val="73921280"/>
        <c:scaling>
          <c:orientation val="minMax"/>
          <c:max val="120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wordArtVert" anchor="ctr" anchorCtr="0"/>
              <a:lstStyle/>
              <a:p>
                <a:pPr algn="ctr">
                  <a:defRPr lang="es-ES" sz="1000" b="1" i="1" u="none" strike="noStrike" baseline="0">
                    <a:solidFill>
                      <a:srgbClr val="000000"/>
                    </a:solidFill>
                    <a:latin typeface="+mn-lt"/>
                    <a:ea typeface="Arial"/>
                    <a:cs typeface="Arial"/>
                  </a:defRPr>
                </a:pPr>
                <a:r>
                  <a:rPr lang="es-ES" sz="1000" b="1" i="1">
                    <a:latin typeface="+mn-lt"/>
                  </a:rPr>
                  <a:t>PORCENTAJE</a:t>
                </a:r>
              </a:p>
            </c:rich>
          </c:tx>
          <c:layout>
            <c:manualLayout>
              <c:xMode val="edge"/>
              <c:yMode val="edge"/>
              <c:x val="1.0155887063637861E-2"/>
              <c:y val="8.4153569872592343E-2"/>
            </c:manualLayout>
          </c:layout>
          <c:spPr>
            <a:noFill/>
            <a:ln w="25399">
              <a:noFill/>
            </a:ln>
          </c:spPr>
        </c:title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s-ES" sz="1100" b="0" i="0" u="none" strike="noStrike" baseline="0">
                <a:solidFill>
                  <a:srgbClr val="000000"/>
                </a:solidFill>
                <a:latin typeface="+mn-lt"/>
                <a:ea typeface="Arial"/>
                <a:cs typeface="Arial"/>
              </a:defRPr>
            </a:pPr>
            <a:endParaRPr lang="es-SV"/>
          </a:p>
        </c:txPr>
        <c:crossAx val="73919104"/>
        <c:crosses val="autoZero"/>
        <c:crossBetween val="between"/>
        <c:minorUnit val="4"/>
      </c:valAx>
      <c:spPr>
        <a:noFill/>
        <a:ln w="25400">
          <a:noFill/>
        </a:ln>
        <a:scene3d>
          <a:camera prst="orthographicFront"/>
          <a:lightRig rig="threePt" dir="t"/>
        </a:scene3d>
        <a:sp3d>
          <a:bevelT/>
        </a:sp3d>
      </c:spPr>
    </c:plotArea>
    <c:plotVisOnly val="1"/>
    <c:dispBlanksAs val="gap"/>
  </c:chart>
  <c:spPr>
    <a:noFill/>
    <a:ln w="12699">
      <a:solidFill>
        <a:srgbClr val="000000"/>
      </a:solidFill>
      <a:prstDash val="solid"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s-SV"/>
    </a:p>
  </c:tx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928</Words>
  <Characters>5105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aarteaga</dc:creator>
  <cp:lastModifiedBy>aarteaga</cp:lastModifiedBy>
  <cp:revision>3</cp:revision>
  <dcterms:created xsi:type="dcterms:W3CDTF">2019-08-12T14:16:00Z</dcterms:created>
  <dcterms:modified xsi:type="dcterms:W3CDTF">2019-08-12T14:21:00Z</dcterms:modified>
</cp:coreProperties>
</file>