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Default Extension="xlsx" ContentType="application/vnd.openxmlformats-officedocument.spreadsheetml.sheet"/>
  <Override PartName="/word/charts/chart2.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467C" w:rsidRDefault="000D467C" w:rsidP="000D467C">
      <w:pPr>
        <w:pStyle w:val="Ttulo"/>
        <w:spacing w:line="281" w:lineRule="auto"/>
        <w:ind w:right="-46"/>
        <w:rPr>
          <w:rFonts w:cs="Arial"/>
        </w:rPr>
      </w:pPr>
      <w:r>
        <w:rPr>
          <w:rFonts w:cs="Arial"/>
        </w:rPr>
        <w:t>MINISTERIO DE AGRICULTURA Y GANADERIA</w:t>
      </w:r>
    </w:p>
    <w:p w:rsidR="000D467C" w:rsidRDefault="000D467C" w:rsidP="000D467C">
      <w:pPr>
        <w:pStyle w:val="Subttulo"/>
        <w:spacing w:line="281" w:lineRule="auto"/>
        <w:rPr>
          <w:rFonts w:cs="Arial"/>
        </w:rPr>
      </w:pPr>
      <w:r>
        <w:rPr>
          <w:rFonts w:cs="Arial"/>
        </w:rPr>
        <w:t>OFICINA DE POLITICAS Y PLANIFICACION SECTORIAL</w:t>
      </w:r>
    </w:p>
    <w:p w:rsidR="000D467C" w:rsidRDefault="000D467C" w:rsidP="000D467C">
      <w:pPr>
        <w:pStyle w:val="Ttulo1"/>
        <w:spacing w:line="281" w:lineRule="auto"/>
      </w:pPr>
      <w:r>
        <w:t>DIVISION DE SEGUIMIENTO Y EVALUACION</w:t>
      </w:r>
    </w:p>
    <w:p w:rsidR="000D467C" w:rsidRDefault="000D467C" w:rsidP="000D467C">
      <w:pPr>
        <w:spacing w:line="281" w:lineRule="auto"/>
      </w:pPr>
    </w:p>
    <w:p w:rsidR="000D467C" w:rsidRDefault="000D467C" w:rsidP="000D467C">
      <w:pPr>
        <w:pStyle w:val="Ttulo1"/>
        <w:spacing w:line="281" w:lineRule="auto"/>
      </w:pPr>
      <w:r>
        <w:t>INFORME DE SEGUIMIENTO DEL AVANCE FISICO DEL POA 2019</w:t>
      </w:r>
    </w:p>
    <w:p w:rsidR="000D467C" w:rsidRDefault="000D467C" w:rsidP="000D467C">
      <w:pPr>
        <w:tabs>
          <w:tab w:val="left" w:pos="1440"/>
          <w:tab w:val="left" w:pos="1980"/>
        </w:tabs>
        <w:spacing w:before="240" w:line="281" w:lineRule="auto"/>
        <w:ind w:left="2124" w:hanging="2124"/>
        <w:jc w:val="both"/>
        <w:rPr>
          <w:rFonts w:ascii="Arial" w:hAnsi="Arial" w:cs="Arial"/>
          <w:b/>
          <w:sz w:val="22"/>
          <w:szCs w:val="22"/>
        </w:rPr>
      </w:pPr>
    </w:p>
    <w:p w:rsidR="000D467C" w:rsidRDefault="000D467C" w:rsidP="000D467C">
      <w:pPr>
        <w:tabs>
          <w:tab w:val="left" w:pos="1440"/>
          <w:tab w:val="left" w:pos="1980"/>
        </w:tabs>
        <w:spacing w:before="240" w:line="281" w:lineRule="auto"/>
        <w:ind w:left="2124" w:hanging="2124"/>
        <w:jc w:val="both"/>
        <w:rPr>
          <w:rFonts w:ascii="Arial" w:hAnsi="Arial" w:cs="Arial"/>
          <w:b/>
          <w:bCs/>
          <w:sz w:val="22"/>
        </w:rPr>
      </w:pPr>
      <w:r>
        <w:rPr>
          <w:rFonts w:ascii="Arial" w:hAnsi="Arial" w:cs="Arial"/>
          <w:b/>
          <w:sz w:val="22"/>
          <w:szCs w:val="22"/>
        </w:rPr>
        <w:t>DEPENDENCIA</w:t>
      </w:r>
      <w:r>
        <w:rPr>
          <w:rFonts w:ascii="Arial" w:hAnsi="Arial" w:cs="Arial"/>
          <w:sz w:val="22"/>
          <w:szCs w:val="22"/>
        </w:rPr>
        <w:t>:</w:t>
      </w:r>
      <w:r>
        <w:rPr>
          <w:rFonts w:ascii="Arial" w:hAnsi="Arial" w:cs="Arial"/>
          <w:sz w:val="22"/>
          <w:szCs w:val="22"/>
        </w:rPr>
        <w:tab/>
      </w:r>
      <w:r>
        <w:rPr>
          <w:rFonts w:ascii="Arial" w:hAnsi="Arial" w:cs="Arial"/>
          <w:sz w:val="22"/>
        </w:rPr>
        <w:t xml:space="preserve">Oficina de Información y Respuesta </w:t>
      </w:r>
      <w:r>
        <w:rPr>
          <w:rFonts w:ascii="Arial" w:hAnsi="Arial" w:cs="Arial"/>
          <w:b/>
          <w:bCs/>
          <w:sz w:val="22"/>
        </w:rPr>
        <w:t>(OIR)</w:t>
      </w:r>
    </w:p>
    <w:p w:rsidR="000D467C" w:rsidRDefault="000D467C" w:rsidP="000D467C">
      <w:pPr>
        <w:spacing w:line="281" w:lineRule="auto"/>
        <w:ind w:left="1980" w:hanging="1980"/>
        <w:jc w:val="both"/>
        <w:rPr>
          <w:rFonts w:ascii="Arial" w:hAnsi="Arial" w:cs="Arial"/>
          <w:sz w:val="22"/>
          <w:szCs w:val="22"/>
        </w:rPr>
      </w:pPr>
    </w:p>
    <w:p w:rsidR="000D467C" w:rsidRDefault="000D467C" w:rsidP="000D467C">
      <w:pPr>
        <w:tabs>
          <w:tab w:val="left" w:pos="1440"/>
          <w:tab w:val="left" w:pos="1980"/>
        </w:tabs>
        <w:spacing w:line="281" w:lineRule="auto"/>
        <w:jc w:val="both"/>
        <w:rPr>
          <w:rFonts w:ascii="Arial" w:hAnsi="Arial" w:cs="Arial"/>
          <w:sz w:val="22"/>
          <w:szCs w:val="22"/>
        </w:rPr>
      </w:pPr>
      <w:r>
        <w:rPr>
          <w:rFonts w:ascii="Arial" w:hAnsi="Arial" w:cs="Arial"/>
          <w:b/>
          <w:sz w:val="22"/>
          <w:szCs w:val="22"/>
        </w:rPr>
        <w:t>TRIMESTRE:</w:t>
      </w:r>
      <w:r>
        <w:rPr>
          <w:rFonts w:ascii="Arial" w:hAnsi="Arial" w:cs="Arial"/>
          <w:sz w:val="22"/>
          <w:szCs w:val="22"/>
        </w:rPr>
        <w:t xml:space="preserve"> </w:t>
      </w:r>
      <w:r>
        <w:rPr>
          <w:rFonts w:ascii="Arial" w:hAnsi="Arial" w:cs="Arial"/>
          <w:sz w:val="22"/>
          <w:szCs w:val="22"/>
        </w:rPr>
        <w:tab/>
      </w:r>
      <w:r>
        <w:rPr>
          <w:rFonts w:ascii="Arial" w:hAnsi="Arial" w:cs="Arial"/>
          <w:sz w:val="22"/>
          <w:szCs w:val="22"/>
        </w:rPr>
        <w:tab/>
        <w:t>abril-junio</w:t>
      </w:r>
    </w:p>
    <w:p w:rsidR="000D467C" w:rsidRDefault="000D467C" w:rsidP="000D467C">
      <w:pPr>
        <w:tabs>
          <w:tab w:val="left" w:pos="1440"/>
          <w:tab w:val="left" w:pos="1980"/>
        </w:tabs>
        <w:spacing w:line="281" w:lineRule="auto"/>
        <w:jc w:val="both"/>
        <w:rPr>
          <w:rFonts w:ascii="Arial" w:hAnsi="Arial" w:cs="Arial"/>
          <w:sz w:val="22"/>
          <w:szCs w:val="22"/>
        </w:rPr>
      </w:pPr>
    </w:p>
    <w:p w:rsidR="000D467C" w:rsidRDefault="000D467C" w:rsidP="000D467C">
      <w:pPr>
        <w:spacing w:line="281" w:lineRule="auto"/>
      </w:pPr>
    </w:p>
    <w:p w:rsidR="000D467C" w:rsidRDefault="000D467C" w:rsidP="000D467C">
      <w:pPr>
        <w:pStyle w:val="Sangra3detindependiente"/>
        <w:spacing w:line="281" w:lineRule="auto"/>
      </w:pPr>
      <w:r>
        <w:t xml:space="preserve">I. </w:t>
      </w:r>
      <w:r>
        <w:tab/>
        <w:t>AVANCE FISICO ALCANZADO EN EL SEGUNDO TRIMESTRE ABRIL-JUNIO DE 2019</w:t>
      </w:r>
    </w:p>
    <w:p w:rsidR="000D467C" w:rsidRDefault="000D467C" w:rsidP="000D467C">
      <w:pPr>
        <w:spacing w:line="281" w:lineRule="auto"/>
        <w:jc w:val="both"/>
        <w:rPr>
          <w:rFonts w:ascii="Arial" w:hAnsi="Arial" w:cs="Arial"/>
          <w:bCs/>
          <w:sz w:val="22"/>
        </w:rPr>
      </w:pPr>
    </w:p>
    <w:p w:rsidR="000D467C" w:rsidRPr="008E0977" w:rsidRDefault="000D467C" w:rsidP="000D467C">
      <w:pPr>
        <w:pStyle w:val="Textoindependiente3"/>
        <w:spacing w:line="281" w:lineRule="auto"/>
        <w:rPr>
          <w:color w:val="000000" w:themeColor="text1"/>
          <w:szCs w:val="24"/>
        </w:rPr>
      </w:pPr>
      <w:r w:rsidRPr="008E0977">
        <w:rPr>
          <w:color w:val="000000" w:themeColor="text1"/>
        </w:rPr>
        <w:t xml:space="preserve">En el trimestre informado, la OIR obtiene un avance físico </w:t>
      </w:r>
      <w:r w:rsidRPr="00DD7B0B">
        <w:rPr>
          <w:b/>
          <w:color w:val="000000" w:themeColor="text1"/>
        </w:rPr>
        <w:t>de 98.2 %</w:t>
      </w:r>
      <w:r w:rsidRPr="00C406BC">
        <w:rPr>
          <w:b/>
          <w:color w:val="FF0000"/>
        </w:rPr>
        <w:t xml:space="preserve"> </w:t>
      </w:r>
      <w:r w:rsidR="00C406BC">
        <w:rPr>
          <w:b/>
          <w:color w:val="FF0000"/>
        </w:rPr>
        <w:t xml:space="preserve"> </w:t>
      </w:r>
      <w:r w:rsidRPr="008E0977">
        <w:rPr>
          <w:color w:val="000000" w:themeColor="text1"/>
        </w:rPr>
        <w:t xml:space="preserve">desempeño físico calificado como </w:t>
      </w:r>
      <w:r w:rsidRPr="008E0977">
        <w:rPr>
          <w:b/>
          <w:color w:val="000000" w:themeColor="text1"/>
        </w:rPr>
        <w:t>Muy Bueno</w:t>
      </w:r>
      <w:r w:rsidRPr="008E0977">
        <w:rPr>
          <w:color w:val="000000" w:themeColor="text1"/>
        </w:rPr>
        <w:t>, siendo dicho r</w:t>
      </w:r>
      <w:r w:rsidRPr="008E0977">
        <w:rPr>
          <w:color w:val="000000" w:themeColor="text1"/>
          <w:szCs w:val="24"/>
        </w:rPr>
        <w:t xml:space="preserve">esultado producto de la ejecución física total de </w:t>
      </w:r>
      <w:r w:rsidR="00B13986" w:rsidRPr="00E82152">
        <w:rPr>
          <w:b/>
          <w:color w:val="000000" w:themeColor="text1"/>
          <w:szCs w:val="24"/>
        </w:rPr>
        <w:t>CUATRO</w:t>
      </w:r>
      <w:r>
        <w:rPr>
          <w:color w:val="000000" w:themeColor="text1"/>
          <w:szCs w:val="24"/>
        </w:rPr>
        <w:t xml:space="preserve"> Indicadores de Resultado, </w:t>
      </w:r>
      <w:r w:rsidR="00B13986">
        <w:rPr>
          <w:b/>
          <w:color w:val="000000" w:themeColor="text1"/>
          <w:szCs w:val="24"/>
        </w:rPr>
        <w:t>UNO</w:t>
      </w:r>
      <w:r>
        <w:rPr>
          <w:color w:val="000000" w:themeColor="text1"/>
          <w:szCs w:val="24"/>
        </w:rPr>
        <w:t xml:space="preserve"> cumplido parcialmente </w:t>
      </w:r>
      <w:r w:rsidRPr="008E0977">
        <w:rPr>
          <w:color w:val="000000" w:themeColor="text1"/>
          <w:szCs w:val="24"/>
        </w:rPr>
        <w:t>y</w:t>
      </w:r>
      <w:r w:rsidR="00B13986">
        <w:rPr>
          <w:color w:val="000000" w:themeColor="text1"/>
          <w:szCs w:val="24"/>
        </w:rPr>
        <w:t xml:space="preserve"> </w:t>
      </w:r>
      <w:r w:rsidR="00B13986">
        <w:rPr>
          <w:b/>
          <w:color w:val="000000" w:themeColor="text1"/>
          <w:szCs w:val="24"/>
        </w:rPr>
        <w:t>TRES</w:t>
      </w:r>
      <w:r w:rsidRPr="008E0977">
        <w:rPr>
          <w:color w:val="000000" w:themeColor="text1"/>
          <w:szCs w:val="24"/>
        </w:rPr>
        <w:t xml:space="preserve"> sin programación en el trimestre informado. </w:t>
      </w:r>
    </w:p>
    <w:p w:rsidR="000D467C" w:rsidRDefault="000D467C" w:rsidP="000D467C">
      <w:pPr>
        <w:pStyle w:val="Textoindependiente3"/>
        <w:spacing w:line="281" w:lineRule="auto"/>
        <w:rPr>
          <w:szCs w:val="24"/>
        </w:rPr>
      </w:pPr>
    </w:p>
    <w:p w:rsidR="000D467C" w:rsidRDefault="000D467C" w:rsidP="000D467C">
      <w:pPr>
        <w:ind w:left="1440" w:hanging="1440"/>
        <w:jc w:val="both"/>
        <w:rPr>
          <w:rFonts w:ascii="Arial" w:hAnsi="Arial" w:cs="Arial"/>
          <w:sz w:val="22"/>
          <w:szCs w:val="22"/>
        </w:rPr>
      </w:pPr>
      <w:r>
        <w:rPr>
          <w:rFonts w:ascii="Arial" w:hAnsi="Arial" w:cs="Arial"/>
          <w:b/>
          <w:bCs/>
          <w:sz w:val="22"/>
          <w:szCs w:val="22"/>
        </w:rPr>
        <w:t>Gráfico 1.</w:t>
      </w:r>
      <w:r>
        <w:rPr>
          <w:rFonts w:ascii="Arial" w:hAnsi="Arial" w:cs="Arial"/>
          <w:sz w:val="22"/>
          <w:szCs w:val="22"/>
        </w:rPr>
        <w:tab/>
        <w:t>Avance físico en porcentaje por Indicadores de Resultado y total Oficina en el trimestre abril-</w:t>
      </w:r>
      <w:r w:rsidR="00A562A3">
        <w:rPr>
          <w:rFonts w:ascii="Arial" w:hAnsi="Arial" w:cs="Arial"/>
          <w:sz w:val="22"/>
          <w:szCs w:val="22"/>
        </w:rPr>
        <w:t>junio</w:t>
      </w:r>
      <w:r>
        <w:rPr>
          <w:rFonts w:ascii="Arial" w:hAnsi="Arial" w:cs="Arial"/>
          <w:sz w:val="22"/>
          <w:szCs w:val="22"/>
        </w:rPr>
        <w:t xml:space="preserve"> de 2019.</w:t>
      </w:r>
    </w:p>
    <w:p w:rsidR="000D467C" w:rsidRDefault="000D467C" w:rsidP="000D467C">
      <w:pPr>
        <w:ind w:left="1440" w:hanging="1440"/>
        <w:jc w:val="both"/>
        <w:rPr>
          <w:rFonts w:ascii="Arial" w:hAnsi="Arial" w:cs="Arial"/>
          <w:sz w:val="22"/>
          <w:szCs w:val="22"/>
        </w:rPr>
      </w:pPr>
    </w:p>
    <w:p w:rsidR="000D467C" w:rsidRDefault="000D467C" w:rsidP="000D467C">
      <w:pPr>
        <w:pBdr>
          <w:bottom w:val="single" w:sz="4" w:space="1" w:color="auto"/>
        </w:pBdr>
        <w:ind w:right="-30"/>
        <w:jc w:val="both"/>
        <w:rPr>
          <w:rFonts w:ascii="Arial" w:hAnsi="Arial" w:cs="Arial"/>
          <w:b/>
          <w:sz w:val="18"/>
          <w:szCs w:val="18"/>
        </w:rPr>
      </w:pPr>
      <w:r>
        <w:rPr>
          <w:rFonts w:ascii="Arial" w:hAnsi="Arial" w:cs="Arial"/>
          <w:noProof/>
          <w:sz w:val="22"/>
          <w:szCs w:val="22"/>
          <w:lang w:val="es-SV" w:eastAsia="es-SV"/>
        </w:rPr>
        <w:drawing>
          <wp:inline distT="0" distB="0" distL="0" distR="0">
            <wp:extent cx="6181725" cy="2533650"/>
            <wp:effectExtent l="19050" t="0" r="9525" b="0"/>
            <wp:docPr id="1" name="Objeto 1"/>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rsidR="000D467C" w:rsidRDefault="000D467C" w:rsidP="000D467C">
      <w:pPr>
        <w:jc w:val="both"/>
        <w:rPr>
          <w:rFonts w:ascii="Arial" w:hAnsi="Arial" w:cs="Arial"/>
          <w:sz w:val="20"/>
          <w:szCs w:val="20"/>
          <w:lang w:val="es-SV" w:eastAsia="es-SV"/>
        </w:rPr>
      </w:pPr>
      <w:r w:rsidRPr="00385545">
        <w:rPr>
          <w:b/>
          <w:sz w:val="18"/>
          <w:szCs w:val="18"/>
        </w:rPr>
        <w:t>SIMBOLOGIA:</w:t>
      </w:r>
      <w:r>
        <w:rPr>
          <w:b/>
          <w:sz w:val="18"/>
          <w:szCs w:val="18"/>
        </w:rPr>
        <w:t xml:space="preserve"> 1. </w:t>
      </w:r>
      <w:r w:rsidRPr="00671FE1">
        <w:rPr>
          <w:rFonts w:ascii="Arial" w:hAnsi="Arial" w:cs="Arial"/>
          <w:sz w:val="20"/>
          <w:szCs w:val="20"/>
          <w:lang w:val="es-SV" w:eastAsia="es-SV"/>
        </w:rPr>
        <w:t>Informe de encuestas de opinión ciudadana para la OIR, elaborado</w:t>
      </w:r>
      <w:r>
        <w:rPr>
          <w:rFonts w:ascii="Arial" w:hAnsi="Arial" w:cs="Arial"/>
          <w:sz w:val="20"/>
          <w:szCs w:val="20"/>
          <w:lang w:val="es-SV" w:eastAsia="es-SV"/>
        </w:rPr>
        <w:t xml:space="preserve"> </w:t>
      </w:r>
      <w:r w:rsidRPr="004B6635">
        <w:rPr>
          <w:rFonts w:ascii="Arial" w:hAnsi="Arial" w:cs="Arial"/>
          <w:b/>
          <w:sz w:val="20"/>
          <w:szCs w:val="20"/>
          <w:lang w:val="es-SV" w:eastAsia="es-SV"/>
        </w:rPr>
        <w:t>2</w:t>
      </w:r>
      <w:r>
        <w:rPr>
          <w:rFonts w:ascii="Arial" w:hAnsi="Arial" w:cs="Arial"/>
          <w:sz w:val="20"/>
          <w:szCs w:val="20"/>
          <w:lang w:val="es-SV" w:eastAsia="es-SV"/>
        </w:rPr>
        <w:t xml:space="preserve">. </w:t>
      </w:r>
      <w:r w:rsidRPr="00671FE1">
        <w:rPr>
          <w:rFonts w:ascii="Arial" w:hAnsi="Arial" w:cs="Arial"/>
          <w:sz w:val="20"/>
          <w:szCs w:val="20"/>
          <w:lang w:val="es-SV" w:eastAsia="es-SV"/>
        </w:rPr>
        <w:t>Programa de divulgación de la Ley de Acceso a la Información Pública para los empleados y la ciudadanía, elaborado</w:t>
      </w:r>
      <w:r>
        <w:rPr>
          <w:rFonts w:ascii="Arial" w:hAnsi="Arial" w:cs="Arial"/>
          <w:sz w:val="20"/>
          <w:szCs w:val="20"/>
          <w:lang w:val="es-SV" w:eastAsia="es-SV"/>
        </w:rPr>
        <w:t xml:space="preserve">; </w:t>
      </w:r>
      <w:r w:rsidRPr="004B6635">
        <w:rPr>
          <w:rFonts w:ascii="Arial" w:hAnsi="Arial" w:cs="Arial"/>
          <w:b/>
          <w:sz w:val="20"/>
          <w:szCs w:val="20"/>
          <w:lang w:val="es-SV" w:eastAsia="es-SV"/>
        </w:rPr>
        <w:t>3</w:t>
      </w:r>
      <w:r>
        <w:rPr>
          <w:rFonts w:ascii="Arial" w:hAnsi="Arial" w:cs="Arial"/>
          <w:sz w:val="20"/>
          <w:szCs w:val="20"/>
          <w:lang w:val="es-SV" w:eastAsia="es-SV"/>
        </w:rPr>
        <w:t>.</w:t>
      </w:r>
      <w:r w:rsidRPr="004B6635">
        <w:rPr>
          <w:rFonts w:ascii="Arial" w:hAnsi="Arial" w:cs="Arial"/>
          <w:sz w:val="20"/>
          <w:szCs w:val="20"/>
        </w:rPr>
        <w:t xml:space="preserve"> </w:t>
      </w:r>
      <w:r>
        <w:rPr>
          <w:rFonts w:ascii="Arial" w:hAnsi="Arial" w:cs="Arial"/>
          <w:sz w:val="20"/>
          <w:szCs w:val="20"/>
        </w:rPr>
        <w:t>Solicitud de información pública, oficiosa, reservada y confidencial, atendida;</w:t>
      </w:r>
      <w:r w:rsidRPr="00671FE1">
        <w:rPr>
          <w:rFonts w:ascii="Arial" w:hAnsi="Arial" w:cs="Arial"/>
          <w:sz w:val="20"/>
          <w:szCs w:val="20"/>
          <w:lang w:val="es-SV" w:eastAsia="es-SV"/>
        </w:rPr>
        <w:t xml:space="preserve"> </w:t>
      </w:r>
      <w:r w:rsidRPr="004B6635">
        <w:rPr>
          <w:rFonts w:ascii="Arial" w:hAnsi="Arial" w:cs="Arial"/>
          <w:b/>
          <w:sz w:val="20"/>
          <w:szCs w:val="20"/>
          <w:lang w:val="es-SV" w:eastAsia="es-SV"/>
        </w:rPr>
        <w:t>4</w:t>
      </w:r>
      <w:r>
        <w:rPr>
          <w:rFonts w:ascii="Arial" w:hAnsi="Arial" w:cs="Arial"/>
          <w:sz w:val="20"/>
          <w:szCs w:val="20"/>
          <w:lang w:val="es-SV" w:eastAsia="es-SV"/>
        </w:rPr>
        <w:t xml:space="preserve">. </w:t>
      </w:r>
      <w:r w:rsidRPr="00671FE1">
        <w:rPr>
          <w:rFonts w:ascii="Arial" w:hAnsi="Arial" w:cs="Arial"/>
          <w:sz w:val="20"/>
          <w:szCs w:val="20"/>
          <w:lang w:val="es-SV" w:eastAsia="es-SV"/>
        </w:rPr>
        <w:t>Índice de Información Reservada del MAG, actualizado y disponible al público</w:t>
      </w:r>
      <w:r>
        <w:rPr>
          <w:rFonts w:ascii="Arial" w:hAnsi="Arial" w:cs="Arial"/>
          <w:sz w:val="20"/>
          <w:szCs w:val="20"/>
          <w:lang w:val="es-SV" w:eastAsia="es-SV"/>
        </w:rPr>
        <w:t xml:space="preserve">; </w:t>
      </w:r>
      <w:r w:rsidRPr="004B6635">
        <w:rPr>
          <w:rFonts w:ascii="Arial" w:hAnsi="Arial" w:cs="Arial"/>
          <w:b/>
          <w:sz w:val="20"/>
          <w:szCs w:val="20"/>
          <w:lang w:val="es-SV" w:eastAsia="es-SV"/>
        </w:rPr>
        <w:t>5</w:t>
      </w:r>
      <w:r>
        <w:rPr>
          <w:rFonts w:ascii="Arial" w:hAnsi="Arial" w:cs="Arial"/>
          <w:sz w:val="20"/>
          <w:szCs w:val="20"/>
          <w:lang w:val="es-SV" w:eastAsia="es-SV"/>
        </w:rPr>
        <w:t xml:space="preserve">.  </w:t>
      </w:r>
      <w:r w:rsidRPr="00671FE1">
        <w:rPr>
          <w:rFonts w:ascii="Arial" w:hAnsi="Arial" w:cs="Arial"/>
          <w:sz w:val="20"/>
          <w:szCs w:val="20"/>
          <w:lang w:val="es-SV" w:eastAsia="es-SV"/>
        </w:rPr>
        <w:t>Información Oficiosa del MAG, actualizada y disponible al público</w:t>
      </w:r>
      <w:r>
        <w:rPr>
          <w:rFonts w:ascii="Arial" w:hAnsi="Arial" w:cs="Arial"/>
          <w:sz w:val="20"/>
          <w:szCs w:val="20"/>
          <w:lang w:val="es-SV" w:eastAsia="es-SV"/>
        </w:rPr>
        <w:t xml:space="preserve">; </w:t>
      </w:r>
      <w:r w:rsidRPr="004B6635">
        <w:rPr>
          <w:rFonts w:ascii="Arial" w:hAnsi="Arial" w:cs="Arial"/>
          <w:b/>
          <w:sz w:val="20"/>
          <w:szCs w:val="20"/>
          <w:lang w:val="es-SV" w:eastAsia="es-SV"/>
        </w:rPr>
        <w:t>6</w:t>
      </w:r>
      <w:r>
        <w:rPr>
          <w:rFonts w:ascii="Arial" w:hAnsi="Arial" w:cs="Arial"/>
          <w:sz w:val="20"/>
          <w:szCs w:val="20"/>
          <w:lang w:val="es-SV" w:eastAsia="es-SV"/>
        </w:rPr>
        <w:t>.</w:t>
      </w:r>
      <w:r w:rsidRPr="00A01523">
        <w:rPr>
          <w:rFonts w:ascii="Arial" w:hAnsi="Arial" w:cs="Arial"/>
          <w:sz w:val="20"/>
          <w:szCs w:val="20"/>
          <w:lang w:val="es-SV" w:eastAsia="es-SV"/>
        </w:rPr>
        <w:t xml:space="preserve"> </w:t>
      </w:r>
      <w:r w:rsidRPr="00671FE1">
        <w:rPr>
          <w:rFonts w:ascii="Arial" w:hAnsi="Arial" w:cs="Arial"/>
          <w:sz w:val="20"/>
          <w:szCs w:val="20"/>
          <w:lang w:val="es-SV" w:eastAsia="es-SV"/>
        </w:rPr>
        <w:t>Consulta ciudadana, atendida</w:t>
      </w:r>
      <w:r>
        <w:rPr>
          <w:rFonts w:ascii="Arial" w:hAnsi="Arial" w:cs="Arial"/>
          <w:sz w:val="20"/>
          <w:szCs w:val="20"/>
          <w:lang w:val="es-SV" w:eastAsia="es-SV"/>
        </w:rPr>
        <w:t xml:space="preserve">; </w:t>
      </w:r>
      <w:r w:rsidRPr="004B6635">
        <w:rPr>
          <w:rFonts w:ascii="Arial" w:hAnsi="Arial" w:cs="Arial"/>
          <w:b/>
          <w:sz w:val="20"/>
          <w:szCs w:val="20"/>
          <w:lang w:val="es-SV" w:eastAsia="es-SV"/>
        </w:rPr>
        <w:t>7</w:t>
      </w:r>
      <w:r>
        <w:rPr>
          <w:rFonts w:ascii="Arial" w:hAnsi="Arial" w:cs="Arial"/>
          <w:sz w:val="20"/>
          <w:szCs w:val="20"/>
          <w:lang w:val="es-SV" w:eastAsia="es-SV"/>
        </w:rPr>
        <w:t xml:space="preserve">. </w:t>
      </w:r>
      <w:r w:rsidRPr="00671FE1">
        <w:rPr>
          <w:rFonts w:ascii="Arial" w:hAnsi="Arial" w:cs="Arial"/>
          <w:sz w:val="20"/>
          <w:szCs w:val="20"/>
          <w:lang w:val="es-SV" w:eastAsia="es-SV"/>
        </w:rPr>
        <w:t>Quejas, reclamos, sugerencias y propuestas, atendidas</w:t>
      </w:r>
      <w:r>
        <w:rPr>
          <w:rFonts w:ascii="Arial" w:hAnsi="Arial" w:cs="Arial"/>
          <w:sz w:val="20"/>
          <w:szCs w:val="20"/>
          <w:lang w:val="es-SV" w:eastAsia="es-SV"/>
        </w:rPr>
        <w:t xml:space="preserve">; </w:t>
      </w:r>
      <w:r w:rsidRPr="004B6635">
        <w:rPr>
          <w:rFonts w:ascii="Arial" w:hAnsi="Arial" w:cs="Arial"/>
          <w:b/>
          <w:sz w:val="20"/>
          <w:szCs w:val="20"/>
          <w:lang w:val="es-SV" w:eastAsia="es-SV"/>
        </w:rPr>
        <w:t>8</w:t>
      </w:r>
      <w:r>
        <w:rPr>
          <w:rFonts w:ascii="Arial" w:hAnsi="Arial" w:cs="Arial"/>
          <w:sz w:val="20"/>
          <w:szCs w:val="20"/>
          <w:lang w:val="es-SV" w:eastAsia="es-SV"/>
        </w:rPr>
        <w:t xml:space="preserve">. </w:t>
      </w:r>
      <w:r w:rsidRPr="00671FE1">
        <w:rPr>
          <w:rFonts w:ascii="Arial" w:hAnsi="Arial" w:cs="Arial"/>
          <w:sz w:val="20"/>
          <w:szCs w:val="20"/>
          <w:lang w:val="es-SV" w:eastAsia="es-SV"/>
        </w:rPr>
        <w:t>Pers</w:t>
      </w:r>
      <w:r>
        <w:rPr>
          <w:rFonts w:ascii="Arial" w:hAnsi="Arial" w:cs="Arial"/>
          <w:sz w:val="20"/>
          <w:szCs w:val="20"/>
          <w:lang w:val="es-SV" w:eastAsia="es-SV"/>
        </w:rPr>
        <w:t>o</w:t>
      </w:r>
      <w:r w:rsidRPr="00671FE1">
        <w:rPr>
          <w:rFonts w:ascii="Arial" w:hAnsi="Arial" w:cs="Arial"/>
          <w:sz w:val="20"/>
          <w:szCs w:val="20"/>
          <w:lang w:val="es-SV" w:eastAsia="es-SV"/>
        </w:rPr>
        <w:t>nas en la Ley de Acceso a la Información Pública (LAIP), capacitadas</w:t>
      </w:r>
      <w:r>
        <w:rPr>
          <w:rFonts w:ascii="Arial" w:hAnsi="Arial" w:cs="Arial"/>
          <w:sz w:val="20"/>
          <w:szCs w:val="20"/>
          <w:lang w:val="es-SV" w:eastAsia="es-SV"/>
        </w:rPr>
        <w:t>.</w:t>
      </w:r>
    </w:p>
    <w:p w:rsidR="000D467C" w:rsidRPr="00AB2F66" w:rsidRDefault="000D467C" w:rsidP="000D467C">
      <w:pPr>
        <w:ind w:right="-30"/>
        <w:jc w:val="both"/>
        <w:rPr>
          <w:rFonts w:ascii="Arial" w:hAnsi="Arial"/>
          <w:sz w:val="20"/>
          <w:szCs w:val="20"/>
        </w:rPr>
      </w:pPr>
      <w:r w:rsidRPr="00AB2F66">
        <w:rPr>
          <w:rFonts w:ascii="Arial" w:hAnsi="Arial" w:cs="Arial"/>
          <w:b/>
          <w:sz w:val="20"/>
          <w:szCs w:val="20"/>
        </w:rPr>
        <w:t xml:space="preserve">Nota: </w:t>
      </w:r>
      <w:r w:rsidRPr="00AB2F66">
        <w:rPr>
          <w:rFonts w:ascii="Arial" w:hAnsi="Arial"/>
          <w:sz w:val="20"/>
          <w:szCs w:val="20"/>
        </w:rPr>
        <w:t xml:space="preserve">Resultado #  </w:t>
      </w:r>
      <w:r w:rsidRPr="00AB2F66">
        <w:rPr>
          <w:rFonts w:ascii="Arial" w:hAnsi="Arial"/>
          <w:b/>
          <w:sz w:val="20"/>
          <w:szCs w:val="20"/>
        </w:rPr>
        <w:t>1</w:t>
      </w:r>
      <w:r w:rsidRPr="00AB2F66">
        <w:rPr>
          <w:rFonts w:ascii="Arial" w:hAnsi="Arial"/>
          <w:sz w:val="20"/>
          <w:szCs w:val="20"/>
        </w:rPr>
        <w:t xml:space="preserve"> </w:t>
      </w:r>
      <w:r w:rsidR="00F925BE">
        <w:rPr>
          <w:rFonts w:ascii="Arial" w:hAnsi="Arial"/>
          <w:sz w:val="20"/>
          <w:szCs w:val="20"/>
        </w:rPr>
        <w:t>,</w:t>
      </w:r>
      <w:r w:rsidR="00F925BE" w:rsidRPr="00F925BE">
        <w:rPr>
          <w:rFonts w:ascii="Arial" w:hAnsi="Arial"/>
          <w:b/>
          <w:sz w:val="20"/>
          <w:szCs w:val="20"/>
        </w:rPr>
        <w:t>2</w:t>
      </w:r>
      <w:r w:rsidR="00F925BE">
        <w:rPr>
          <w:rFonts w:ascii="Arial" w:hAnsi="Arial"/>
          <w:sz w:val="20"/>
          <w:szCs w:val="20"/>
        </w:rPr>
        <w:t xml:space="preserve"> </w:t>
      </w:r>
      <w:r w:rsidRPr="00AB2F66">
        <w:rPr>
          <w:rFonts w:ascii="Arial" w:hAnsi="Arial"/>
          <w:sz w:val="20"/>
          <w:szCs w:val="20"/>
        </w:rPr>
        <w:t xml:space="preserve">y </w:t>
      </w:r>
      <w:r w:rsidR="00F925BE" w:rsidRPr="00F925BE">
        <w:rPr>
          <w:rFonts w:ascii="Arial" w:hAnsi="Arial"/>
          <w:b/>
          <w:sz w:val="20"/>
          <w:szCs w:val="20"/>
        </w:rPr>
        <w:t>4</w:t>
      </w:r>
      <w:r w:rsidRPr="00AB2F66">
        <w:rPr>
          <w:rFonts w:ascii="Arial" w:hAnsi="Arial"/>
          <w:sz w:val="20"/>
          <w:szCs w:val="20"/>
        </w:rPr>
        <w:t>, sin programación para el trimestre bajo análisis.</w:t>
      </w:r>
    </w:p>
    <w:p w:rsidR="000D467C" w:rsidRDefault="000D467C" w:rsidP="000D467C">
      <w:pPr>
        <w:pStyle w:val="Textoindependiente3"/>
        <w:spacing w:line="281" w:lineRule="auto"/>
        <w:rPr>
          <w:b/>
          <w:sz w:val="18"/>
          <w:szCs w:val="18"/>
        </w:rPr>
      </w:pPr>
    </w:p>
    <w:p w:rsidR="000D467C" w:rsidRDefault="000D467C" w:rsidP="000D467C">
      <w:pPr>
        <w:jc w:val="both"/>
        <w:rPr>
          <w:rFonts w:ascii="Arial" w:hAnsi="Arial" w:cs="Arial"/>
          <w:sz w:val="18"/>
          <w:szCs w:val="18"/>
        </w:rPr>
      </w:pPr>
      <w:r w:rsidRPr="00C97EE0">
        <w:rPr>
          <w:rFonts w:ascii="Arial" w:hAnsi="Arial" w:cs="Arial"/>
          <w:b/>
          <w:bCs/>
          <w:sz w:val="18"/>
          <w:szCs w:val="18"/>
        </w:rPr>
        <w:t>FUENTE:</w:t>
      </w:r>
      <w:r>
        <w:rPr>
          <w:rFonts w:ascii="Arial" w:hAnsi="Arial" w:cs="Arial"/>
          <w:b/>
          <w:bCs/>
          <w:sz w:val="18"/>
          <w:szCs w:val="18"/>
        </w:rPr>
        <w:t xml:space="preserve"> </w:t>
      </w:r>
      <w:r w:rsidRPr="00C97EE0">
        <w:rPr>
          <w:rFonts w:ascii="Arial" w:hAnsi="Arial" w:cs="Arial"/>
          <w:b/>
          <w:sz w:val="18"/>
          <w:szCs w:val="18"/>
        </w:rPr>
        <w:t>OIR.</w:t>
      </w:r>
      <w:r w:rsidRPr="00C97EE0">
        <w:rPr>
          <w:rFonts w:ascii="Arial" w:hAnsi="Arial" w:cs="Arial"/>
          <w:sz w:val="18"/>
          <w:szCs w:val="18"/>
        </w:rPr>
        <w:t xml:space="preserve"> </w:t>
      </w:r>
      <w:r>
        <w:rPr>
          <w:rFonts w:ascii="Arial" w:hAnsi="Arial" w:cs="Arial"/>
          <w:sz w:val="18"/>
          <w:szCs w:val="18"/>
        </w:rPr>
        <w:t xml:space="preserve"> </w:t>
      </w:r>
      <w:r w:rsidRPr="00C97EE0">
        <w:rPr>
          <w:rFonts w:ascii="Arial" w:hAnsi="Arial" w:cs="Arial"/>
          <w:sz w:val="18"/>
          <w:szCs w:val="18"/>
        </w:rPr>
        <w:t xml:space="preserve">Informe de avance físico del trimestre </w:t>
      </w:r>
      <w:r w:rsidR="00F925BE">
        <w:rPr>
          <w:rFonts w:ascii="Arial" w:hAnsi="Arial" w:cs="Arial"/>
          <w:sz w:val="18"/>
          <w:szCs w:val="18"/>
        </w:rPr>
        <w:t>abril</w:t>
      </w:r>
      <w:r>
        <w:rPr>
          <w:rFonts w:ascii="Arial" w:hAnsi="Arial" w:cs="Arial"/>
          <w:sz w:val="18"/>
          <w:szCs w:val="18"/>
        </w:rPr>
        <w:t>-</w:t>
      </w:r>
      <w:r w:rsidR="00F925BE">
        <w:rPr>
          <w:rFonts w:ascii="Arial" w:hAnsi="Arial" w:cs="Arial"/>
          <w:sz w:val="18"/>
          <w:szCs w:val="18"/>
        </w:rPr>
        <w:t xml:space="preserve">junio </w:t>
      </w:r>
      <w:r w:rsidRPr="00210E52">
        <w:rPr>
          <w:rFonts w:ascii="Arial" w:hAnsi="Arial" w:cs="Arial"/>
          <w:sz w:val="18"/>
          <w:szCs w:val="18"/>
        </w:rPr>
        <w:t xml:space="preserve"> de 201</w:t>
      </w:r>
      <w:r>
        <w:rPr>
          <w:rFonts w:ascii="Arial" w:hAnsi="Arial" w:cs="Arial"/>
          <w:sz w:val="18"/>
          <w:szCs w:val="18"/>
        </w:rPr>
        <w:t>9</w:t>
      </w:r>
      <w:r w:rsidRPr="00210E52">
        <w:rPr>
          <w:rFonts w:ascii="Arial" w:hAnsi="Arial" w:cs="Arial"/>
          <w:sz w:val="18"/>
          <w:szCs w:val="18"/>
        </w:rPr>
        <w:t xml:space="preserve">. </w:t>
      </w:r>
    </w:p>
    <w:p w:rsidR="000D467C" w:rsidRPr="00210E52" w:rsidRDefault="000D467C" w:rsidP="000D467C">
      <w:pPr>
        <w:jc w:val="both"/>
        <w:rPr>
          <w:rFonts w:ascii="Arial" w:hAnsi="Arial" w:cs="Arial"/>
          <w:sz w:val="18"/>
          <w:szCs w:val="18"/>
        </w:rPr>
      </w:pPr>
    </w:p>
    <w:p w:rsidR="000D467C" w:rsidRDefault="000D467C" w:rsidP="000D467C">
      <w:pPr>
        <w:pStyle w:val="Textoindependiente3"/>
        <w:spacing w:line="281" w:lineRule="auto"/>
        <w:rPr>
          <w:szCs w:val="24"/>
        </w:rPr>
      </w:pPr>
    </w:p>
    <w:p w:rsidR="000D467C" w:rsidRDefault="000D467C" w:rsidP="000D467C">
      <w:pPr>
        <w:pStyle w:val="Textoindependiente3"/>
        <w:spacing w:line="281" w:lineRule="auto"/>
        <w:rPr>
          <w:szCs w:val="24"/>
        </w:rPr>
      </w:pPr>
    </w:p>
    <w:p w:rsidR="000D467C" w:rsidRDefault="000D467C" w:rsidP="000D467C">
      <w:pPr>
        <w:pStyle w:val="Textoindependiente3"/>
        <w:spacing w:line="281" w:lineRule="auto"/>
        <w:rPr>
          <w:szCs w:val="24"/>
        </w:rPr>
      </w:pPr>
      <w:r>
        <w:rPr>
          <w:szCs w:val="24"/>
        </w:rPr>
        <w:t>L</w:t>
      </w:r>
      <w:r w:rsidRPr="00CE5CEA">
        <w:rPr>
          <w:szCs w:val="24"/>
        </w:rPr>
        <w:t xml:space="preserve">os productos generados por la OIR durante el </w:t>
      </w:r>
      <w:r>
        <w:rPr>
          <w:szCs w:val="24"/>
        </w:rPr>
        <w:t>trimestre</w:t>
      </w:r>
      <w:r w:rsidRPr="00CE5CEA">
        <w:rPr>
          <w:szCs w:val="24"/>
        </w:rPr>
        <w:t xml:space="preserve"> informado s</w:t>
      </w:r>
      <w:r>
        <w:rPr>
          <w:szCs w:val="24"/>
        </w:rPr>
        <w:t>on:</w:t>
      </w:r>
    </w:p>
    <w:p w:rsidR="000D467C" w:rsidRPr="00F73E41" w:rsidRDefault="000D467C" w:rsidP="000D467C">
      <w:pPr>
        <w:pStyle w:val="Textoindependiente3"/>
        <w:numPr>
          <w:ilvl w:val="0"/>
          <w:numId w:val="2"/>
        </w:numPr>
        <w:spacing w:line="281" w:lineRule="auto"/>
        <w:rPr>
          <w:color w:val="000000" w:themeColor="text1"/>
          <w:szCs w:val="24"/>
        </w:rPr>
      </w:pPr>
      <w:r w:rsidRPr="00F73E41">
        <w:rPr>
          <w:color w:val="000000" w:themeColor="text1"/>
          <w:szCs w:val="24"/>
        </w:rPr>
        <w:t xml:space="preserve">Atención de </w:t>
      </w:r>
      <w:r w:rsidR="00F925BE" w:rsidRPr="00F925BE">
        <w:rPr>
          <w:b/>
          <w:color w:val="000000" w:themeColor="text1"/>
          <w:szCs w:val="24"/>
        </w:rPr>
        <w:t>8</w:t>
      </w:r>
      <w:r w:rsidRPr="00F925BE">
        <w:rPr>
          <w:b/>
          <w:color w:val="000000" w:themeColor="text1"/>
          <w:szCs w:val="24"/>
        </w:rPr>
        <w:t>5</w:t>
      </w:r>
      <w:r w:rsidRPr="00F73E41">
        <w:rPr>
          <w:color w:val="000000" w:themeColor="text1"/>
          <w:szCs w:val="24"/>
        </w:rPr>
        <w:t xml:space="preserve"> solicitudes de información pública, oficiosa, reservada y confidencial;</w:t>
      </w:r>
    </w:p>
    <w:p w:rsidR="000D467C" w:rsidRPr="00F73E41" w:rsidRDefault="000D467C" w:rsidP="000D467C">
      <w:pPr>
        <w:pStyle w:val="Textoindependiente3"/>
        <w:numPr>
          <w:ilvl w:val="0"/>
          <w:numId w:val="2"/>
        </w:numPr>
        <w:spacing w:line="281" w:lineRule="auto"/>
        <w:rPr>
          <w:color w:val="000000" w:themeColor="text1"/>
          <w:szCs w:val="24"/>
        </w:rPr>
      </w:pPr>
      <w:r w:rsidRPr="00F73E41">
        <w:rPr>
          <w:color w:val="000000" w:themeColor="text1"/>
          <w:szCs w:val="24"/>
        </w:rPr>
        <w:t xml:space="preserve">Elaboración de </w:t>
      </w:r>
      <w:r w:rsidR="00F925BE" w:rsidRPr="00F925BE">
        <w:rPr>
          <w:b/>
          <w:color w:val="000000" w:themeColor="text1"/>
          <w:szCs w:val="24"/>
        </w:rPr>
        <w:t>48</w:t>
      </w:r>
      <w:r w:rsidRPr="00F73E41">
        <w:rPr>
          <w:color w:val="000000" w:themeColor="text1"/>
          <w:szCs w:val="24"/>
        </w:rPr>
        <w:t xml:space="preserve"> informes de consulta ciudadana sobre información del quehacer del MAG;</w:t>
      </w:r>
    </w:p>
    <w:p w:rsidR="000D467C" w:rsidRPr="00F73E41" w:rsidRDefault="000D467C" w:rsidP="000D467C">
      <w:pPr>
        <w:pStyle w:val="Textoindependiente3"/>
        <w:numPr>
          <w:ilvl w:val="0"/>
          <w:numId w:val="2"/>
        </w:numPr>
        <w:spacing w:line="281" w:lineRule="auto"/>
        <w:rPr>
          <w:color w:val="000000" w:themeColor="text1"/>
          <w:szCs w:val="24"/>
        </w:rPr>
      </w:pPr>
      <w:r w:rsidRPr="00F73E41">
        <w:rPr>
          <w:color w:val="000000" w:themeColor="text1"/>
          <w:szCs w:val="24"/>
        </w:rPr>
        <w:t xml:space="preserve">Elaboración de </w:t>
      </w:r>
      <w:r w:rsidRPr="00653437">
        <w:rPr>
          <w:b/>
          <w:color w:val="000000" w:themeColor="text1"/>
          <w:szCs w:val="24"/>
        </w:rPr>
        <w:t>dos</w:t>
      </w:r>
      <w:r w:rsidRPr="00F73E41">
        <w:rPr>
          <w:color w:val="000000" w:themeColor="text1"/>
          <w:szCs w:val="24"/>
        </w:rPr>
        <w:t xml:space="preserve"> informe</w:t>
      </w:r>
      <w:r>
        <w:rPr>
          <w:color w:val="000000" w:themeColor="text1"/>
          <w:szCs w:val="24"/>
        </w:rPr>
        <w:t>s</w:t>
      </w:r>
      <w:r w:rsidRPr="00F73E41">
        <w:rPr>
          <w:color w:val="000000" w:themeColor="text1"/>
          <w:szCs w:val="24"/>
        </w:rPr>
        <w:t xml:space="preserve"> de quejas, reclamos, sugerencias y propuestas; y,</w:t>
      </w:r>
    </w:p>
    <w:p w:rsidR="000D467C" w:rsidRDefault="000D467C" w:rsidP="000D467C">
      <w:pPr>
        <w:pStyle w:val="Textoindependiente3"/>
        <w:numPr>
          <w:ilvl w:val="0"/>
          <w:numId w:val="2"/>
        </w:numPr>
        <w:spacing w:line="281" w:lineRule="auto"/>
        <w:rPr>
          <w:color w:val="000000" w:themeColor="text1"/>
          <w:szCs w:val="24"/>
        </w:rPr>
      </w:pPr>
      <w:r w:rsidRPr="00F73E41">
        <w:rPr>
          <w:color w:val="000000" w:themeColor="text1"/>
          <w:szCs w:val="24"/>
        </w:rPr>
        <w:t xml:space="preserve">Capacitación de </w:t>
      </w:r>
      <w:r w:rsidR="00F925BE" w:rsidRPr="00F925BE">
        <w:rPr>
          <w:b/>
          <w:color w:val="000000" w:themeColor="text1"/>
          <w:szCs w:val="24"/>
        </w:rPr>
        <w:t>10</w:t>
      </w:r>
      <w:r w:rsidRPr="00F73E41">
        <w:rPr>
          <w:color w:val="000000" w:themeColor="text1"/>
          <w:szCs w:val="24"/>
        </w:rPr>
        <w:t xml:space="preserve"> hombres y </w:t>
      </w:r>
      <w:r w:rsidR="00F925BE" w:rsidRPr="00F925BE">
        <w:rPr>
          <w:b/>
          <w:color w:val="000000" w:themeColor="text1"/>
          <w:szCs w:val="24"/>
        </w:rPr>
        <w:t>10</w:t>
      </w:r>
      <w:r>
        <w:rPr>
          <w:b/>
          <w:color w:val="000000" w:themeColor="text1"/>
          <w:szCs w:val="24"/>
        </w:rPr>
        <w:t xml:space="preserve"> </w:t>
      </w:r>
      <w:r w:rsidRPr="00F73E41">
        <w:rPr>
          <w:color w:val="000000" w:themeColor="text1"/>
          <w:szCs w:val="24"/>
        </w:rPr>
        <w:t>mujeres en la Ley de Acceso a la Información Pública (LAIP).</w:t>
      </w:r>
    </w:p>
    <w:p w:rsidR="000D467C" w:rsidRPr="00D64B6B" w:rsidRDefault="000D467C" w:rsidP="000D467C">
      <w:pPr>
        <w:pStyle w:val="Textoindependiente3"/>
        <w:spacing w:line="281" w:lineRule="auto"/>
        <w:ind w:left="1080"/>
        <w:rPr>
          <w:b/>
          <w:color w:val="FF0000"/>
          <w:szCs w:val="24"/>
        </w:rPr>
      </w:pPr>
    </w:p>
    <w:p w:rsidR="000F6FCD" w:rsidRDefault="000F6FCD" w:rsidP="000F6FCD">
      <w:pPr>
        <w:spacing w:line="216" w:lineRule="auto"/>
        <w:jc w:val="both"/>
        <w:rPr>
          <w:rFonts w:ascii="Arial" w:hAnsi="Arial" w:cs="Arial"/>
          <w:b/>
          <w:bCs/>
          <w:sz w:val="22"/>
          <w:szCs w:val="22"/>
        </w:rPr>
      </w:pPr>
      <w:r>
        <w:rPr>
          <w:rFonts w:ascii="Arial" w:hAnsi="Arial" w:cs="Arial"/>
          <w:b/>
          <w:bCs/>
          <w:sz w:val="22"/>
          <w:szCs w:val="22"/>
        </w:rPr>
        <w:t>II.</w:t>
      </w:r>
      <w:r>
        <w:rPr>
          <w:rFonts w:ascii="Arial" w:hAnsi="Arial" w:cs="Arial"/>
          <w:b/>
          <w:bCs/>
          <w:sz w:val="22"/>
          <w:szCs w:val="22"/>
        </w:rPr>
        <w:tab/>
        <w:t xml:space="preserve">AVANCE FISICO ALCANZADO EN EL PERIODO </w:t>
      </w:r>
      <w:r w:rsidRPr="002B6243">
        <w:rPr>
          <w:rFonts w:ascii="Arial" w:hAnsi="Arial" w:cs="Arial"/>
          <w:b/>
          <w:bCs/>
          <w:sz w:val="22"/>
          <w:szCs w:val="22"/>
        </w:rPr>
        <w:t>ENERO-</w:t>
      </w:r>
      <w:r>
        <w:rPr>
          <w:rFonts w:ascii="Arial" w:hAnsi="Arial" w:cs="Arial"/>
          <w:b/>
          <w:bCs/>
          <w:sz w:val="22"/>
          <w:szCs w:val="22"/>
        </w:rPr>
        <w:t>JUNIO DE 2019.</w:t>
      </w:r>
    </w:p>
    <w:p w:rsidR="000F6FCD" w:rsidRDefault="000F6FCD" w:rsidP="000F6FCD">
      <w:pPr>
        <w:spacing w:line="216" w:lineRule="auto"/>
        <w:jc w:val="both"/>
        <w:rPr>
          <w:rFonts w:ascii="Arial" w:hAnsi="Arial" w:cs="Arial"/>
          <w:bCs/>
          <w:sz w:val="22"/>
          <w:szCs w:val="22"/>
        </w:rPr>
      </w:pPr>
    </w:p>
    <w:p w:rsidR="002C296E" w:rsidRPr="008E0977" w:rsidRDefault="000F6FCD" w:rsidP="002C296E">
      <w:pPr>
        <w:pStyle w:val="Textoindependiente3"/>
        <w:spacing w:line="281" w:lineRule="auto"/>
        <w:rPr>
          <w:color w:val="000000" w:themeColor="text1"/>
          <w:szCs w:val="24"/>
        </w:rPr>
      </w:pPr>
      <w:r w:rsidRPr="00DD7B0B">
        <w:rPr>
          <w:rFonts w:cs="Arial"/>
          <w:bCs/>
          <w:color w:val="000000" w:themeColor="text1"/>
        </w:rPr>
        <w:t>En el periodo reportado</w:t>
      </w:r>
      <w:r w:rsidRPr="00DD7B0B">
        <w:rPr>
          <w:rFonts w:cs="Arial"/>
          <w:b/>
          <w:bCs/>
          <w:color w:val="000000" w:themeColor="text1"/>
        </w:rPr>
        <w:t>, la O</w:t>
      </w:r>
      <w:r w:rsidR="00DD7B0B" w:rsidRPr="00DD7B0B">
        <w:rPr>
          <w:rFonts w:cs="Arial"/>
          <w:b/>
          <w:bCs/>
          <w:color w:val="000000" w:themeColor="text1"/>
        </w:rPr>
        <w:t>IR</w:t>
      </w:r>
      <w:r w:rsidRPr="00DD7B0B">
        <w:rPr>
          <w:rFonts w:cs="Arial"/>
          <w:b/>
          <w:bCs/>
          <w:color w:val="000000" w:themeColor="text1"/>
        </w:rPr>
        <w:t xml:space="preserve"> logra</w:t>
      </w:r>
      <w:r w:rsidRPr="00DD7B0B">
        <w:rPr>
          <w:rFonts w:cs="Arial"/>
          <w:bCs/>
          <w:color w:val="000000" w:themeColor="text1"/>
        </w:rPr>
        <w:t xml:space="preserve"> un avance físico de </w:t>
      </w:r>
      <w:r w:rsidRPr="00DD7B0B">
        <w:rPr>
          <w:rFonts w:cs="Arial"/>
          <w:b/>
          <w:bCs/>
          <w:color w:val="000000" w:themeColor="text1"/>
        </w:rPr>
        <w:t>99.1%</w:t>
      </w:r>
      <w:r w:rsidRPr="00DD7B0B">
        <w:rPr>
          <w:rFonts w:cs="Arial"/>
          <w:bCs/>
          <w:color w:val="000000" w:themeColor="text1"/>
        </w:rPr>
        <w:t xml:space="preserve"> respecto a las metas planificadas</w:t>
      </w:r>
      <w:r w:rsidRPr="005E2546">
        <w:rPr>
          <w:rFonts w:cs="Arial"/>
          <w:bCs/>
        </w:rPr>
        <w:t xml:space="preserve"> a cumplir al mes de </w:t>
      </w:r>
      <w:r w:rsidRPr="00155676">
        <w:rPr>
          <w:rFonts w:cs="Arial"/>
          <w:b/>
          <w:bCs/>
        </w:rPr>
        <w:t>junio</w:t>
      </w:r>
      <w:r w:rsidRPr="005E2546">
        <w:rPr>
          <w:rFonts w:cs="Arial"/>
          <w:bCs/>
        </w:rPr>
        <w:t xml:space="preserve">, nivel de cumplimiento que es calificado </w:t>
      </w:r>
      <w:r w:rsidRPr="002B6243">
        <w:rPr>
          <w:rFonts w:cs="Arial"/>
          <w:bCs/>
        </w:rPr>
        <w:t xml:space="preserve">como </w:t>
      </w:r>
      <w:r w:rsidRPr="00EC15F8">
        <w:rPr>
          <w:rFonts w:cs="Arial"/>
          <w:b/>
          <w:bCs/>
        </w:rPr>
        <w:t>Muy Bueno</w:t>
      </w:r>
      <w:r>
        <w:rPr>
          <w:rFonts w:cs="Arial"/>
          <w:bCs/>
        </w:rPr>
        <w:t>.</w:t>
      </w:r>
      <w:r w:rsidR="002C296E" w:rsidRPr="002C296E">
        <w:rPr>
          <w:color w:val="000000" w:themeColor="text1"/>
        </w:rPr>
        <w:t xml:space="preserve"> </w:t>
      </w:r>
      <w:r w:rsidR="002C296E">
        <w:rPr>
          <w:color w:val="000000" w:themeColor="text1"/>
        </w:rPr>
        <w:t>S</w:t>
      </w:r>
      <w:r w:rsidR="002C296E" w:rsidRPr="008E0977">
        <w:rPr>
          <w:color w:val="000000" w:themeColor="text1"/>
        </w:rPr>
        <w:t>iendo dicho r</w:t>
      </w:r>
      <w:r w:rsidR="002C296E" w:rsidRPr="008E0977">
        <w:rPr>
          <w:color w:val="000000" w:themeColor="text1"/>
          <w:szCs w:val="24"/>
        </w:rPr>
        <w:t xml:space="preserve">esultado producto de la ejecución física total de </w:t>
      </w:r>
      <w:r w:rsidR="00E82152" w:rsidRPr="00E82152">
        <w:rPr>
          <w:b/>
          <w:color w:val="000000" w:themeColor="text1"/>
          <w:szCs w:val="24"/>
        </w:rPr>
        <w:t>seis</w:t>
      </w:r>
      <w:r w:rsidR="002C296E">
        <w:rPr>
          <w:color w:val="000000" w:themeColor="text1"/>
          <w:szCs w:val="24"/>
        </w:rPr>
        <w:t xml:space="preserve"> Indicadores de Resultado, </w:t>
      </w:r>
      <w:r w:rsidR="00E82152" w:rsidRPr="00E82152">
        <w:rPr>
          <w:b/>
          <w:color w:val="000000" w:themeColor="text1"/>
          <w:szCs w:val="24"/>
        </w:rPr>
        <w:t>uno</w:t>
      </w:r>
      <w:r w:rsidR="002C296E">
        <w:rPr>
          <w:color w:val="000000" w:themeColor="text1"/>
          <w:szCs w:val="24"/>
        </w:rPr>
        <w:t xml:space="preserve"> cumplido parcialmente </w:t>
      </w:r>
      <w:r w:rsidR="002C296E" w:rsidRPr="008E0977">
        <w:rPr>
          <w:color w:val="000000" w:themeColor="text1"/>
          <w:szCs w:val="24"/>
        </w:rPr>
        <w:t>y</w:t>
      </w:r>
      <w:r w:rsidR="002C296E">
        <w:rPr>
          <w:color w:val="000000" w:themeColor="text1"/>
          <w:szCs w:val="24"/>
        </w:rPr>
        <w:t xml:space="preserve"> </w:t>
      </w:r>
      <w:r w:rsidR="00E82152" w:rsidRPr="00E82152">
        <w:rPr>
          <w:b/>
          <w:color w:val="000000" w:themeColor="text1"/>
          <w:szCs w:val="24"/>
        </w:rPr>
        <w:t>uno</w:t>
      </w:r>
      <w:r w:rsidR="002C296E" w:rsidRPr="008E0977">
        <w:rPr>
          <w:color w:val="000000" w:themeColor="text1"/>
          <w:szCs w:val="24"/>
        </w:rPr>
        <w:t xml:space="preserve"> sin programación en el trimestre informado. </w:t>
      </w:r>
    </w:p>
    <w:p w:rsidR="000F6FCD" w:rsidRDefault="000F6FCD" w:rsidP="000F6FCD">
      <w:pPr>
        <w:spacing w:line="216" w:lineRule="auto"/>
        <w:jc w:val="both"/>
        <w:rPr>
          <w:rFonts w:ascii="Arial" w:hAnsi="Arial" w:cs="Arial"/>
          <w:bCs/>
          <w:sz w:val="22"/>
          <w:szCs w:val="22"/>
        </w:rPr>
      </w:pPr>
    </w:p>
    <w:p w:rsidR="000F6FCD" w:rsidRDefault="000F6FCD" w:rsidP="000F6FCD">
      <w:pPr>
        <w:spacing w:line="216" w:lineRule="auto"/>
        <w:ind w:left="1410" w:hanging="1410"/>
        <w:jc w:val="both"/>
        <w:rPr>
          <w:rFonts w:ascii="Arial" w:hAnsi="Arial" w:cs="Arial"/>
          <w:b/>
          <w:bCs/>
          <w:sz w:val="22"/>
          <w:szCs w:val="22"/>
        </w:rPr>
      </w:pPr>
    </w:p>
    <w:p w:rsidR="000F6FCD" w:rsidRDefault="000F6FCD" w:rsidP="000F6FCD">
      <w:pPr>
        <w:ind w:left="1440" w:hanging="1440"/>
        <w:jc w:val="both"/>
        <w:rPr>
          <w:rFonts w:ascii="Arial" w:hAnsi="Arial" w:cs="Arial"/>
          <w:sz w:val="22"/>
          <w:szCs w:val="22"/>
        </w:rPr>
      </w:pPr>
      <w:r>
        <w:rPr>
          <w:rFonts w:ascii="Arial" w:hAnsi="Arial" w:cs="Arial"/>
          <w:b/>
          <w:bCs/>
          <w:sz w:val="22"/>
          <w:szCs w:val="22"/>
        </w:rPr>
        <w:t>Gráfico 1.</w:t>
      </w:r>
      <w:r>
        <w:rPr>
          <w:rFonts w:ascii="Arial" w:hAnsi="Arial" w:cs="Arial"/>
          <w:sz w:val="22"/>
          <w:szCs w:val="22"/>
        </w:rPr>
        <w:tab/>
        <w:t>Avance físico en porcentaje por Indicadores de Resultado y total Oficina en el trimestre enero-junio de 2019.</w:t>
      </w:r>
    </w:p>
    <w:p w:rsidR="000F6FCD" w:rsidRDefault="000F6FCD" w:rsidP="000F6FCD">
      <w:pPr>
        <w:ind w:left="1440" w:hanging="1440"/>
        <w:jc w:val="both"/>
        <w:rPr>
          <w:rFonts w:ascii="Arial" w:hAnsi="Arial" w:cs="Arial"/>
          <w:sz w:val="22"/>
          <w:szCs w:val="22"/>
        </w:rPr>
      </w:pPr>
    </w:p>
    <w:p w:rsidR="000F6FCD" w:rsidRDefault="000F6FCD" w:rsidP="000F6FCD">
      <w:pPr>
        <w:pBdr>
          <w:bottom w:val="single" w:sz="4" w:space="1" w:color="auto"/>
        </w:pBdr>
        <w:ind w:right="-30"/>
        <w:jc w:val="both"/>
        <w:rPr>
          <w:rFonts w:ascii="Arial" w:hAnsi="Arial" w:cs="Arial"/>
          <w:b/>
          <w:sz w:val="18"/>
          <w:szCs w:val="18"/>
        </w:rPr>
      </w:pPr>
      <w:r>
        <w:rPr>
          <w:rFonts w:ascii="Arial" w:hAnsi="Arial" w:cs="Arial"/>
          <w:noProof/>
          <w:sz w:val="22"/>
          <w:szCs w:val="22"/>
          <w:lang w:val="es-SV" w:eastAsia="es-SV"/>
        </w:rPr>
        <w:drawing>
          <wp:inline distT="0" distB="0" distL="0" distR="0">
            <wp:extent cx="6181725" cy="2533650"/>
            <wp:effectExtent l="19050" t="0" r="9525" b="0"/>
            <wp:docPr id="4" name="Objeto 1"/>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0F6FCD" w:rsidRDefault="000F6FCD" w:rsidP="000F6FCD">
      <w:pPr>
        <w:jc w:val="both"/>
        <w:rPr>
          <w:rFonts w:ascii="Arial" w:hAnsi="Arial" w:cs="Arial"/>
          <w:sz w:val="20"/>
          <w:szCs w:val="20"/>
          <w:lang w:val="es-SV" w:eastAsia="es-SV"/>
        </w:rPr>
      </w:pPr>
      <w:r w:rsidRPr="00385545">
        <w:rPr>
          <w:b/>
          <w:sz w:val="18"/>
          <w:szCs w:val="18"/>
        </w:rPr>
        <w:t>SIMBOLOGIA:</w:t>
      </w:r>
      <w:r>
        <w:rPr>
          <w:b/>
          <w:sz w:val="18"/>
          <w:szCs w:val="18"/>
        </w:rPr>
        <w:t xml:space="preserve"> 1. </w:t>
      </w:r>
      <w:r w:rsidRPr="00671FE1">
        <w:rPr>
          <w:rFonts w:ascii="Arial" w:hAnsi="Arial" w:cs="Arial"/>
          <w:sz w:val="20"/>
          <w:szCs w:val="20"/>
          <w:lang w:val="es-SV" w:eastAsia="es-SV"/>
        </w:rPr>
        <w:t>Informe de encuestas de opinión ciudadana para la OIR, elaborado</w:t>
      </w:r>
      <w:r>
        <w:rPr>
          <w:rFonts w:ascii="Arial" w:hAnsi="Arial" w:cs="Arial"/>
          <w:sz w:val="20"/>
          <w:szCs w:val="20"/>
          <w:lang w:val="es-SV" w:eastAsia="es-SV"/>
        </w:rPr>
        <w:t xml:space="preserve"> </w:t>
      </w:r>
      <w:r w:rsidRPr="004B6635">
        <w:rPr>
          <w:rFonts w:ascii="Arial" w:hAnsi="Arial" w:cs="Arial"/>
          <w:b/>
          <w:sz w:val="20"/>
          <w:szCs w:val="20"/>
          <w:lang w:val="es-SV" w:eastAsia="es-SV"/>
        </w:rPr>
        <w:t>2</w:t>
      </w:r>
      <w:r>
        <w:rPr>
          <w:rFonts w:ascii="Arial" w:hAnsi="Arial" w:cs="Arial"/>
          <w:sz w:val="20"/>
          <w:szCs w:val="20"/>
          <w:lang w:val="es-SV" w:eastAsia="es-SV"/>
        </w:rPr>
        <w:t xml:space="preserve">. </w:t>
      </w:r>
      <w:r w:rsidRPr="00671FE1">
        <w:rPr>
          <w:rFonts w:ascii="Arial" w:hAnsi="Arial" w:cs="Arial"/>
          <w:sz w:val="20"/>
          <w:szCs w:val="20"/>
          <w:lang w:val="es-SV" w:eastAsia="es-SV"/>
        </w:rPr>
        <w:t>Programa de divulgación de la Ley de Acceso a la Información Pública para los empleados y la ciudadanía, elaborado</w:t>
      </w:r>
      <w:r>
        <w:rPr>
          <w:rFonts w:ascii="Arial" w:hAnsi="Arial" w:cs="Arial"/>
          <w:sz w:val="20"/>
          <w:szCs w:val="20"/>
          <w:lang w:val="es-SV" w:eastAsia="es-SV"/>
        </w:rPr>
        <w:t xml:space="preserve">; </w:t>
      </w:r>
      <w:r w:rsidRPr="004B6635">
        <w:rPr>
          <w:rFonts w:ascii="Arial" w:hAnsi="Arial" w:cs="Arial"/>
          <w:b/>
          <w:sz w:val="20"/>
          <w:szCs w:val="20"/>
          <w:lang w:val="es-SV" w:eastAsia="es-SV"/>
        </w:rPr>
        <w:t>3</w:t>
      </w:r>
      <w:r>
        <w:rPr>
          <w:rFonts w:ascii="Arial" w:hAnsi="Arial" w:cs="Arial"/>
          <w:sz w:val="20"/>
          <w:szCs w:val="20"/>
          <w:lang w:val="es-SV" w:eastAsia="es-SV"/>
        </w:rPr>
        <w:t>.</w:t>
      </w:r>
      <w:r w:rsidRPr="004B6635">
        <w:rPr>
          <w:rFonts w:ascii="Arial" w:hAnsi="Arial" w:cs="Arial"/>
          <w:sz w:val="20"/>
          <w:szCs w:val="20"/>
        </w:rPr>
        <w:t xml:space="preserve"> </w:t>
      </w:r>
      <w:r>
        <w:rPr>
          <w:rFonts w:ascii="Arial" w:hAnsi="Arial" w:cs="Arial"/>
          <w:sz w:val="20"/>
          <w:szCs w:val="20"/>
        </w:rPr>
        <w:t>Solicitud de información pública, oficiosa, reservada y confidencial, atendida;</w:t>
      </w:r>
      <w:r w:rsidRPr="00671FE1">
        <w:rPr>
          <w:rFonts w:ascii="Arial" w:hAnsi="Arial" w:cs="Arial"/>
          <w:sz w:val="20"/>
          <w:szCs w:val="20"/>
          <w:lang w:val="es-SV" w:eastAsia="es-SV"/>
        </w:rPr>
        <w:t xml:space="preserve"> </w:t>
      </w:r>
      <w:r w:rsidRPr="004B6635">
        <w:rPr>
          <w:rFonts w:ascii="Arial" w:hAnsi="Arial" w:cs="Arial"/>
          <w:b/>
          <w:sz w:val="20"/>
          <w:szCs w:val="20"/>
          <w:lang w:val="es-SV" w:eastAsia="es-SV"/>
        </w:rPr>
        <w:t>4</w:t>
      </w:r>
      <w:r>
        <w:rPr>
          <w:rFonts w:ascii="Arial" w:hAnsi="Arial" w:cs="Arial"/>
          <w:sz w:val="20"/>
          <w:szCs w:val="20"/>
          <w:lang w:val="es-SV" w:eastAsia="es-SV"/>
        </w:rPr>
        <w:t xml:space="preserve">. </w:t>
      </w:r>
      <w:r w:rsidRPr="00671FE1">
        <w:rPr>
          <w:rFonts w:ascii="Arial" w:hAnsi="Arial" w:cs="Arial"/>
          <w:sz w:val="20"/>
          <w:szCs w:val="20"/>
          <w:lang w:val="es-SV" w:eastAsia="es-SV"/>
        </w:rPr>
        <w:t>Índice de Información Reservada del MAG, actualizado y disponible al público</w:t>
      </w:r>
      <w:r>
        <w:rPr>
          <w:rFonts w:ascii="Arial" w:hAnsi="Arial" w:cs="Arial"/>
          <w:sz w:val="20"/>
          <w:szCs w:val="20"/>
          <w:lang w:val="es-SV" w:eastAsia="es-SV"/>
        </w:rPr>
        <w:t xml:space="preserve">; </w:t>
      </w:r>
      <w:r w:rsidRPr="004B6635">
        <w:rPr>
          <w:rFonts w:ascii="Arial" w:hAnsi="Arial" w:cs="Arial"/>
          <w:b/>
          <w:sz w:val="20"/>
          <w:szCs w:val="20"/>
          <w:lang w:val="es-SV" w:eastAsia="es-SV"/>
        </w:rPr>
        <w:t>5</w:t>
      </w:r>
      <w:r>
        <w:rPr>
          <w:rFonts w:ascii="Arial" w:hAnsi="Arial" w:cs="Arial"/>
          <w:sz w:val="20"/>
          <w:szCs w:val="20"/>
          <w:lang w:val="es-SV" w:eastAsia="es-SV"/>
        </w:rPr>
        <w:t xml:space="preserve">.  </w:t>
      </w:r>
      <w:r w:rsidRPr="00671FE1">
        <w:rPr>
          <w:rFonts w:ascii="Arial" w:hAnsi="Arial" w:cs="Arial"/>
          <w:sz w:val="20"/>
          <w:szCs w:val="20"/>
          <w:lang w:val="es-SV" w:eastAsia="es-SV"/>
        </w:rPr>
        <w:t>Información Oficiosa del MAG, actualizada y disponible al público</w:t>
      </w:r>
      <w:r>
        <w:rPr>
          <w:rFonts w:ascii="Arial" w:hAnsi="Arial" w:cs="Arial"/>
          <w:sz w:val="20"/>
          <w:szCs w:val="20"/>
          <w:lang w:val="es-SV" w:eastAsia="es-SV"/>
        </w:rPr>
        <w:t xml:space="preserve">; </w:t>
      </w:r>
      <w:r w:rsidRPr="004B6635">
        <w:rPr>
          <w:rFonts w:ascii="Arial" w:hAnsi="Arial" w:cs="Arial"/>
          <w:b/>
          <w:sz w:val="20"/>
          <w:szCs w:val="20"/>
          <w:lang w:val="es-SV" w:eastAsia="es-SV"/>
        </w:rPr>
        <w:t>6</w:t>
      </w:r>
      <w:r>
        <w:rPr>
          <w:rFonts w:ascii="Arial" w:hAnsi="Arial" w:cs="Arial"/>
          <w:sz w:val="20"/>
          <w:szCs w:val="20"/>
          <w:lang w:val="es-SV" w:eastAsia="es-SV"/>
        </w:rPr>
        <w:t>.</w:t>
      </w:r>
      <w:r w:rsidRPr="00A01523">
        <w:rPr>
          <w:rFonts w:ascii="Arial" w:hAnsi="Arial" w:cs="Arial"/>
          <w:sz w:val="20"/>
          <w:szCs w:val="20"/>
          <w:lang w:val="es-SV" w:eastAsia="es-SV"/>
        </w:rPr>
        <w:t xml:space="preserve"> </w:t>
      </w:r>
      <w:r w:rsidRPr="00671FE1">
        <w:rPr>
          <w:rFonts w:ascii="Arial" w:hAnsi="Arial" w:cs="Arial"/>
          <w:sz w:val="20"/>
          <w:szCs w:val="20"/>
          <w:lang w:val="es-SV" w:eastAsia="es-SV"/>
        </w:rPr>
        <w:t>Consulta ciudadana, atendida</w:t>
      </w:r>
      <w:r>
        <w:rPr>
          <w:rFonts w:ascii="Arial" w:hAnsi="Arial" w:cs="Arial"/>
          <w:sz w:val="20"/>
          <w:szCs w:val="20"/>
          <w:lang w:val="es-SV" w:eastAsia="es-SV"/>
        </w:rPr>
        <w:t xml:space="preserve">; </w:t>
      </w:r>
      <w:r w:rsidRPr="004B6635">
        <w:rPr>
          <w:rFonts w:ascii="Arial" w:hAnsi="Arial" w:cs="Arial"/>
          <w:b/>
          <w:sz w:val="20"/>
          <w:szCs w:val="20"/>
          <w:lang w:val="es-SV" w:eastAsia="es-SV"/>
        </w:rPr>
        <w:t>7</w:t>
      </w:r>
      <w:r>
        <w:rPr>
          <w:rFonts w:ascii="Arial" w:hAnsi="Arial" w:cs="Arial"/>
          <w:sz w:val="20"/>
          <w:szCs w:val="20"/>
          <w:lang w:val="es-SV" w:eastAsia="es-SV"/>
        </w:rPr>
        <w:t xml:space="preserve">. </w:t>
      </w:r>
      <w:r w:rsidRPr="00671FE1">
        <w:rPr>
          <w:rFonts w:ascii="Arial" w:hAnsi="Arial" w:cs="Arial"/>
          <w:sz w:val="20"/>
          <w:szCs w:val="20"/>
          <w:lang w:val="es-SV" w:eastAsia="es-SV"/>
        </w:rPr>
        <w:t>Quejas, reclamos, sugerencias y propuestas, atendidas</w:t>
      </w:r>
      <w:r>
        <w:rPr>
          <w:rFonts w:ascii="Arial" w:hAnsi="Arial" w:cs="Arial"/>
          <w:sz w:val="20"/>
          <w:szCs w:val="20"/>
          <w:lang w:val="es-SV" w:eastAsia="es-SV"/>
        </w:rPr>
        <w:t xml:space="preserve">; </w:t>
      </w:r>
      <w:r w:rsidRPr="004B6635">
        <w:rPr>
          <w:rFonts w:ascii="Arial" w:hAnsi="Arial" w:cs="Arial"/>
          <w:b/>
          <w:sz w:val="20"/>
          <w:szCs w:val="20"/>
          <w:lang w:val="es-SV" w:eastAsia="es-SV"/>
        </w:rPr>
        <w:t>8</w:t>
      </w:r>
      <w:r>
        <w:rPr>
          <w:rFonts w:ascii="Arial" w:hAnsi="Arial" w:cs="Arial"/>
          <w:sz w:val="20"/>
          <w:szCs w:val="20"/>
          <w:lang w:val="es-SV" w:eastAsia="es-SV"/>
        </w:rPr>
        <w:t xml:space="preserve">. </w:t>
      </w:r>
      <w:r w:rsidRPr="00671FE1">
        <w:rPr>
          <w:rFonts w:ascii="Arial" w:hAnsi="Arial" w:cs="Arial"/>
          <w:sz w:val="20"/>
          <w:szCs w:val="20"/>
          <w:lang w:val="es-SV" w:eastAsia="es-SV"/>
        </w:rPr>
        <w:t>Pers</w:t>
      </w:r>
      <w:r>
        <w:rPr>
          <w:rFonts w:ascii="Arial" w:hAnsi="Arial" w:cs="Arial"/>
          <w:sz w:val="20"/>
          <w:szCs w:val="20"/>
          <w:lang w:val="es-SV" w:eastAsia="es-SV"/>
        </w:rPr>
        <w:t>o</w:t>
      </w:r>
      <w:r w:rsidRPr="00671FE1">
        <w:rPr>
          <w:rFonts w:ascii="Arial" w:hAnsi="Arial" w:cs="Arial"/>
          <w:sz w:val="20"/>
          <w:szCs w:val="20"/>
          <w:lang w:val="es-SV" w:eastAsia="es-SV"/>
        </w:rPr>
        <w:t>nas en la Ley de Acceso a la Información Pública (LAIP), capacitadas</w:t>
      </w:r>
      <w:r>
        <w:rPr>
          <w:rFonts w:ascii="Arial" w:hAnsi="Arial" w:cs="Arial"/>
          <w:sz w:val="20"/>
          <w:szCs w:val="20"/>
          <w:lang w:val="es-SV" w:eastAsia="es-SV"/>
        </w:rPr>
        <w:t>.</w:t>
      </w:r>
    </w:p>
    <w:p w:rsidR="000F6FCD" w:rsidRPr="00AB2F66" w:rsidRDefault="000F6FCD" w:rsidP="000F6FCD">
      <w:pPr>
        <w:ind w:right="-30"/>
        <w:jc w:val="both"/>
        <w:rPr>
          <w:rFonts w:ascii="Arial" w:hAnsi="Arial"/>
          <w:sz w:val="20"/>
          <w:szCs w:val="20"/>
        </w:rPr>
      </w:pPr>
      <w:r w:rsidRPr="00AB2F66">
        <w:rPr>
          <w:rFonts w:ascii="Arial" w:hAnsi="Arial" w:cs="Arial"/>
          <w:b/>
          <w:sz w:val="20"/>
          <w:szCs w:val="20"/>
        </w:rPr>
        <w:t xml:space="preserve">Nota: </w:t>
      </w:r>
      <w:r w:rsidRPr="00AB2F66">
        <w:rPr>
          <w:rFonts w:ascii="Arial" w:hAnsi="Arial"/>
          <w:sz w:val="20"/>
          <w:szCs w:val="20"/>
        </w:rPr>
        <w:t xml:space="preserve">Resultado #  </w:t>
      </w:r>
      <w:r w:rsidRPr="00AB2F66">
        <w:rPr>
          <w:rFonts w:ascii="Arial" w:hAnsi="Arial"/>
          <w:b/>
          <w:sz w:val="20"/>
          <w:szCs w:val="20"/>
        </w:rPr>
        <w:t>1</w:t>
      </w:r>
      <w:r w:rsidRPr="00AB2F66">
        <w:rPr>
          <w:rFonts w:ascii="Arial" w:hAnsi="Arial"/>
          <w:sz w:val="20"/>
          <w:szCs w:val="20"/>
        </w:rPr>
        <w:t>, sin programación para el trimestre bajo análisis.</w:t>
      </w:r>
    </w:p>
    <w:p w:rsidR="000F6FCD" w:rsidRDefault="000F6FCD" w:rsidP="000F6FCD">
      <w:pPr>
        <w:pStyle w:val="Textoindependiente3"/>
        <w:spacing w:line="281" w:lineRule="auto"/>
        <w:rPr>
          <w:b/>
          <w:sz w:val="18"/>
          <w:szCs w:val="18"/>
        </w:rPr>
      </w:pPr>
    </w:p>
    <w:p w:rsidR="000F6FCD" w:rsidRDefault="000F6FCD" w:rsidP="000F6FCD">
      <w:pPr>
        <w:jc w:val="both"/>
        <w:rPr>
          <w:rFonts w:ascii="Arial" w:hAnsi="Arial" w:cs="Arial"/>
          <w:sz w:val="18"/>
          <w:szCs w:val="18"/>
        </w:rPr>
      </w:pPr>
      <w:r w:rsidRPr="00C97EE0">
        <w:rPr>
          <w:rFonts w:ascii="Arial" w:hAnsi="Arial" w:cs="Arial"/>
          <w:b/>
          <w:bCs/>
          <w:sz w:val="18"/>
          <w:szCs w:val="18"/>
        </w:rPr>
        <w:t>FUENTE:</w:t>
      </w:r>
      <w:r>
        <w:rPr>
          <w:rFonts w:ascii="Arial" w:hAnsi="Arial" w:cs="Arial"/>
          <w:b/>
          <w:bCs/>
          <w:sz w:val="18"/>
          <w:szCs w:val="18"/>
        </w:rPr>
        <w:t xml:space="preserve"> </w:t>
      </w:r>
      <w:r w:rsidRPr="00C97EE0">
        <w:rPr>
          <w:rFonts w:ascii="Arial" w:hAnsi="Arial" w:cs="Arial"/>
          <w:b/>
          <w:sz w:val="18"/>
          <w:szCs w:val="18"/>
        </w:rPr>
        <w:t>OIR.</w:t>
      </w:r>
      <w:r w:rsidRPr="00C97EE0">
        <w:rPr>
          <w:rFonts w:ascii="Arial" w:hAnsi="Arial" w:cs="Arial"/>
          <w:sz w:val="18"/>
          <w:szCs w:val="18"/>
        </w:rPr>
        <w:t xml:space="preserve"> </w:t>
      </w:r>
      <w:r>
        <w:rPr>
          <w:rFonts w:ascii="Arial" w:hAnsi="Arial" w:cs="Arial"/>
          <w:sz w:val="18"/>
          <w:szCs w:val="18"/>
        </w:rPr>
        <w:t xml:space="preserve"> </w:t>
      </w:r>
      <w:r w:rsidRPr="00C97EE0">
        <w:rPr>
          <w:rFonts w:ascii="Arial" w:hAnsi="Arial" w:cs="Arial"/>
          <w:sz w:val="18"/>
          <w:szCs w:val="18"/>
        </w:rPr>
        <w:t xml:space="preserve">Informe de avance físico del trimestre </w:t>
      </w:r>
      <w:r>
        <w:rPr>
          <w:rFonts w:ascii="Arial" w:hAnsi="Arial" w:cs="Arial"/>
          <w:sz w:val="18"/>
          <w:szCs w:val="18"/>
        </w:rPr>
        <w:t xml:space="preserve">abril-junio  </w:t>
      </w:r>
      <w:r w:rsidRPr="00210E52">
        <w:rPr>
          <w:rFonts w:ascii="Arial" w:hAnsi="Arial" w:cs="Arial"/>
          <w:sz w:val="18"/>
          <w:szCs w:val="18"/>
        </w:rPr>
        <w:t xml:space="preserve"> de 201</w:t>
      </w:r>
      <w:r>
        <w:rPr>
          <w:rFonts w:ascii="Arial" w:hAnsi="Arial" w:cs="Arial"/>
          <w:sz w:val="18"/>
          <w:szCs w:val="18"/>
        </w:rPr>
        <w:t>9</w:t>
      </w:r>
      <w:r w:rsidRPr="00210E52">
        <w:rPr>
          <w:rFonts w:ascii="Arial" w:hAnsi="Arial" w:cs="Arial"/>
          <w:sz w:val="18"/>
          <w:szCs w:val="18"/>
        </w:rPr>
        <w:t xml:space="preserve">. </w:t>
      </w:r>
    </w:p>
    <w:p w:rsidR="000F6FCD" w:rsidRPr="00210E52" w:rsidRDefault="000F6FCD" w:rsidP="000F6FCD">
      <w:pPr>
        <w:jc w:val="both"/>
        <w:rPr>
          <w:rFonts w:ascii="Arial" w:hAnsi="Arial" w:cs="Arial"/>
          <w:sz w:val="18"/>
          <w:szCs w:val="18"/>
        </w:rPr>
      </w:pPr>
    </w:p>
    <w:p w:rsidR="000F6FCD" w:rsidRDefault="000F6FCD" w:rsidP="000F6FCD">
      <w:pPr>
        <w:pStyle w:val="Textoindependiente3"/>
        <w:spacing w:line="281" w:lineRule="auto"/>
        <w:rPr>
          <w:szCs w:val="24"/>
        </w:rPr>
      </w:pPr>
    </w:p>
    <w:p w:rsidR="000F6FCD" w:rsidRDefault="000F6FCD" w:rsidP="000F6FCD">
      <w:pPr>
        <w:spacing w:line="216" w:lineRule="auto"/>
        <w:ind w:left="1410" w:hanging="1410"/>
        <w:jc w:val="both"/>
        <w:rPr>
          <w:rFonts w:ascii="Arial" w:hAnsi="Arial" w:cs="Arial"/>
          <w:b/>
          <w:bCs/>
          <w:sz w:val="22"/>
          <w:szCs w:val="22"/>
        </w:rPr>
      </w:pPr>
    </w:p>
    <w:p w:rsidR="000F6FCD" w:rsidRDefault="000F6FCD" w:rsidP="000F6FCD">
      <w:pPr>
        <w:spacing w:line="216" w:lineRule="auto"/>
        <w:jc w:val="both"/>
        <w:rPr>
          <w:rFonts w:ascii="Arial" w:hAnsi="Arial" w:cs="Arial"/>
          <w:bCs/>
          <w:sz w:val="22"/>
          <w:szCs w:val="22"/>
        </w:rPr>
      </w:pPr>
    </w:p>
    <w:p w:rsidR="000F6FCD" w:rsidRDefault="000F6FCD" w:rsidP="000F6FCD">
      <w:pPr>
        <w:spacing w:line="216" w:lineRule="auto"/>
        <w:jc w:val="both"/>
        <w:rPr>
          <w:rFonts w:ascii="Arial" w:hAnsi="Arial" w:cs="Arial"/>
          <w:bCs/>
          <w:sz w:val="22"/>
          <w:szCs w:val="22"/>
        </w:rPr>
      </w:pPr>
    </w:p>
    <w:p w:rsidR="00E37333" w:rsidRPr="009E7BC2" w:rsidRDefault="00E37333" w:rsidP="00E37333">
      <w:pPr>
        <w:pStyle w:val="Textoindependiente3"/>
        <w:spacing w:line="281" w:lineRule="auto"/>
        <w:rPr>
          <w:color w:val="000000" w:themeColor="text1"/>
          <w:szCs w:val="24"/>
        </w:rPr>
      </w:pPr>
      <w:r w:rsidRPr="009E7BC2">
        <w:rPr>
          <w:rFonts w:cs="Arial"/>
          <w:bCs/>
          <w:color w:val="000000" w:themeColor="text1"/>
        </w:rPr>
        <w:t xml:space="preserve">  </w:t>
      </w:r>
      <w:r w:rsidRPr="009E7BC2">
        <w:rPr>
          <w:color w:val="000000" w:themeColor="text1"/>
          <w:szCs w:val="24"/>
        </w:rPr>
        <w:t>Los productos generados por la OIR durante el período informado</w:t>
      </w:r>
      <w:r w:rsidR="00F906AD" w:rsidRPr="009E7BC2">
        <w:rPr>
          <w:color w:val="000000" w:themeColor="text1"/>
          <w:szCs w:val="24"/>
        </w:rPr>
        <w:t xml:space="preserve"> y programado según PAO</w:t>
      </w:r>
      <w:r w:rsidRPr="009E7BC2">
        <w:rPr>
          <w:color w:val="000000" w:themeColor="text1"/>
          <w:szCs w:val="24"/>
        </w:rPr>
        <w:t xml:space="preserve"> son:</w:t>
      </w:r>
    </w:p>
    <w:p w:rsidR="00E37333" w:rsidRPr="00DD7B0B" w:rsidRDefault="00E37333" w:rsidP="00E37333">
      <w:pPr>
        <w:pStyle w:val="Textoindependiente3"/>
        <w:numPr>
          <w:ilvl w:val="0"/>
          <w:numId w:val="2"/>
        </w:numPr>
        <w:spacing w:line="281" w:lineRule="auto"/>
        <w:rPr>
          <w:color w:val="000000" w:themeColor="text1"/>
          <w:szCs w:val="24"/>
        </w:rPr>
      </w:pPr>
      <w:r w:rsidRPr="00DD7B0B">
        <w:rPr>
          <w:color w:val="000000" w:themeColor="text1"/>
          <w:szCs w:val="24"/>
        </w:rPr>
        <w:lastRenderedPageBreak/>
        <w:t xml:space="preserve">Atención de </w:t>
      </w:r>
      <w:r w:rsidRPr="00DD7B0B">
        <w:rPr>
          <w:b/>
          <w:color w:val="000000" w:themeColor="text1"/>
          <w:szCs w:val="24"/>
        </w:rPr>
        <w:t>139</w:t>
      </w:r>
      <w:r w:rsidRPr="00DD7B0B">
        <w:rPr>
          <w:color w:val="000000" w:themeColor="text1"/>
          <w:szCs w:val="24"/>
        </w:rPr>
        <w:t xml:space="preserve"> solicitudes de información pública, oficiosa, reservada y confidencial;</w:t>
      </w:r>
    </w:p>
    <w:p w:rsidR="00E37333" w:rsidRPr="00F73E41" w:rsidRDefault="00E37333" w:rsidP="00E37333">
      <w:pPr>
        <w:pStyle w:val="Textoindependiente3"/>
        <w:numPr>
          <w:ilvl w:val="0"/>
          <w:numId w:val="2"/>
        </w:numPr>
        <w:spacing w:line="281" w:lineRule="auto"/>
        <w:rPr>
          <w:color w:val="000000" w:themeColor="text1"/>
          <w:szCs w:val="24"/>
        </w:rPr>
      </w:pPr>
      <w:r w:rsidRPr="00F73E41">
        <w:rPr>
          <w:color w:val="000000" w:themeColor="text1"/>
          <w:szCs w:val="24"/>
        </w:rPr>
        <w:t xml:space="preserve">Elaboración de </w:t>
      </w:r>
      <w:r w:rsidRPr="007B0845">
        <w:rPr>
          <w:b/>
          <w:color w:val="000000" w:themeColor="text1"/>
          <w:szCs w:val="24"/>
        </w:rPr>
        <w:t>107</w:t>
      </w:r>
      <w:r w:rsidRPr="00F73E41">
        <w:rPr>
          <w:color w:val="000000" w:themeColor="text1"/>
          <w:szCs w:val="24"/>
        </w:rPr>
        <w:t xml:space="preserve"> informes de consulta ciudadana sobre información del quehacer del MAG;</w:t>
      </w:r>
    </w:p>
    <w:p w:rsidR="00E37333" w:rsidRPr="00F73E41" w:rsidRDefault="00E37333" w:rsidP="00E37333">
      <w:pPr>
        <w:pStyle w:val="Textoindependiente3"/>
        <w:numPr>
          <w:ilvl w:val="0"/>
          <w:numId w:val="2"/>
        </w:numPr>
        <w:spacing w:line="281" w:lineRule="auto"/>
        <w:rPr>
          <w:color w:val="000000" w:themeColor="text1"/>
          <w:szCs w:val="24"/>
        </w:rPr>
      </w:pPr>
      <w:r w:rsidRPr="00F73E41">
        <w:rPr>
          <w:color w:val="000000" w:themeColor="text1"/>
          <w:szCs w:val="24"/>
        </w:rPr>
        <w:t xml:space="preserve">Elaboración de </w:t>
      </w:r>
      <w:r w:rsidRPr="007B0845">
        <w:rPr>
          <w:b/>
          <w:color w:val="000000" w:themeColor="text1"/>
          <w:szCs w:val="24"/>
        </w:rPr>
        <w:t>cuatro</w:t>
      </w:r>
      <w:r w:rsidRPr="00F73E41">
        <w:rPr>
          <w:color w:val="000000" w:themeColor="text1"/>
          <w:szCs w:val="24"/>
        </w:rPr>
        <w:t xml:space="preserve"> informe</w:t>
      </w:r>
      <w:r>
        <w:rPr>
          <w:color w:val="000000" w:themeColor="text1"/>
          <w:szCs w:val="24"/>
        </w:rPr>
        <w:t>s</w:t>
      </w:r>
      <w:r w:rsidRPr="00F73E41">
        <w:rPr>
          <w:color w:val="000000" w:themeColor="text1"/>
          <w:szCs w:val="24"/>
        </w:rPr>
        <w:t xml:space="preserve"> de quejas, reclamos, sugerencias y propuestas; y,</w:t>
      </w:r>
    </w:p>
    <w:p w:rsidR="00E37333" w:rsidRPr="00F73E41" w:rsidRDefault="00E37333" w:rsidP="00E37333">
      <w:pPr>
        <w:pStyle w:val="Textoindependiente3"/>
        <w:numPr>
          <w:ilvl w:val="0"/>
          <w:numId w:val="2"/>
        </w:numPr>
        <w:spacing w:line="281" w:lineRule="auto"/>
        <w:rPr>
          <w:color w:val="000000" w:themeColor="text1"/>
          <w:szCs w:val="24"/>
        </w:rPr>
      </w:pPr>
      <w:r w:rsidRPr="00F73E41">
        <w:rPr>
          <w:color w:val="000000" w:themeColor="text1"/>
          <w:szCs w:val="24"/>
        </w:rPr>
        <w:t xml:space="preserve">Capacitación de </w:t>
      </w:r>
      <w:r w:rsidRPr="007B0845">
        <w:rPr>
          <w:b/>
          <w:color w:val="000000" w:themeColor="text1"/>
          <w:szCs w:val="24"/>
        </w:rPr>
        <w:t>51</w:t>
      </w:r>
      <w:r w:rsidRPr="00F73E41">
        <w:rPr>
          <w:color w:val="000000" w:themeColor="text1"/>
          <w:szCs w:val="24"/>
        </w:rPr>
        <w:t xml:space="preserve"> hombres y </w:t>
      </w:r>
      <w:r w:rsidRPr="007B0845">
        <w:rPr>
          <w:b/>
          <w:color w:val="000000" w:themeColor="text1"/>
          <w:szCs w:val="24"/>
        </w:rPr>
        <w:t>38</w:t>
      </w:r>
      <w:r>
        <w:rPr>
          <w:b/>
          <w:color w:val="000000" w:themeColor="text1"/>
          <w:szCs w:val="24"/>
        </w:rPr>
        <w:t xml:space="preserve"> </w:t>
      </w:r>
      <w:r w:rsidRPr="00F73E41">
        <w:rPr>
          <w:color w:val="000000" w:themeColor="text1"/>
          <w:szCs w:val="24"/>
        </w:rPr>
        <w:t>mujeres en la Ley de Acceso a la Información Pública (LAIP).</w:t>
      </w:r>
    </w:p>
    <w:p w:rsidR="009E7BC2" w:rsidRDefault="009E7BC2" w:rsidP="000F6FCD">
      <w:pPr>
        <w:spacing w:line="216" w:lineRule="auto"/>
        <w:jc w:val="both"/>
        <w:rPr>
          <w:rFonts w:ascii="Arial" w:hAnsi="Arial" w:cs="Arial"/>
          <w:b/>
          <w:sz w:val="22"/>
          <w:szCs w:val="22"/>
        </w:rPr>
      </w:pPr>
    </w:p>
    <w:p w:rsidR="000F6FCD" w:rsidRPr="000B7A9D" w:rsidRDefault="000F6FCD" w:rsidP="000F6FCD">
      <w:pPr>
        <w:spacing w:line="216" w:lineRule="auto"/>
        <w:jc w:val="both"/>
        <w:rPr>
          <w:rFonts w:ascii="Arial" w:hAnsi="Arial" w:cs="Arial"/>
          <w:b/>
          <w:sz w:val="22"/>
          <w:szCs w:val="22"/>
        </w:rPr>
      </w:pPr>
      <w:r>
        <w:rPr>
          <w:rFonts w:ascii="Arial" w:hAnsi="Arial" w:cs="Arial"/>
          <w:b/>
          <w:sz w:val="22"/>
          <w:szCs w:val="22"/>
        </w:rPr>
        <w:t>III.</w:t>
      </w:r>
      <w:r>
        <w:rPr>
          <w:rFonts w:ascii="Arial" w:hAnsi="Arial" w:cs="Arial"/>
          <w:b/>
          <w:sz w:val="22"/>
          <w:szCs w:val="22"/>
        </w:rPr>
        <w:tab/>
      </w:r>
      <w:r w:rsidRPr="000B7A9D">
        <w:rPr>
          <w:rFonts w:ascii="Arial" w:hAnsi="Arial" w:cs="Arial"/>
          <w:b/>
          <w:sz w:val="22"/>
          <w:szCs w:val="22"/>
        </w:rPr>
        <w:t>CONCLUSION Y RECOMENDACION</w:t>
      </w:r>
    </w:p>
    <w:p w:rsidR="000F6FCD" w:rsidRDefault="000F6FCD" w:rsidP="000F6FCD">
      <w:pPr>
        <w:ind w:left="-180"/>
        <w:jc w:val="both"/>
        <w:rPr>
          <w:rFonts w:ascii="Arial" w:hAnsi="Arial" w:cs="Arial"/>
          <w:sz w:val="22"/>
          <w:szCs w:val="22"/>
        </w:rPr>
      </w:pPr>
    </w:p>
    <w:p w:rsidR="000F6FCD" w:rsidRDefault="000F6FCD" w:rsidP="000F6FCD">
      <w:pPr>
        <w:jc w:val="both"/>
        <w:rPr>
          <w:rFonts w:ascii="Arial" w:hAnsi="Arial" w:cs="Arial"/>
          <w:b/>
          <w:sz w:val="22"/>
          <w:szCs w:val="22"/>
        </w:rPr>
      </w:pPr>
      <w:r>
        <w:rPr>
          <w:rFonts w:ascii="Arial" w:hAnsi="Arial" w:cs="Arial"/>
          <w:sz w:val="22"/>
          <w:szCs w:val="22"/>
        </w:rPr>
        <w:t xml:space="preserve">El nivel de cumplimiento alcanzado en el trimestre y período bajo análisis, es calificado como </w:t>
      </w:r>
      <w:r w:rsidRPr="00A9634F">
        <w:rPr>
          <w:rFonts w:ascii="Arial" w:hAnsi="Arial" w:cs="Arial"/>
          <w:b/>
          <w:sz w:val="22"/>
          <w:szCs w:val="22"/>
        </w:rPr>
        <w:t>Muy Bueno</w:t>
      </w:r>
      <w:r>
        <w:rPr>
          <w:rFonts w:ascii="Arial" w:hAnsi="Arial" w:cs="Arial"/>
          <w:b/>
          <w:sz w:val="22"/>
          <w:szCs w:val="22"/>
        </w:rPr>
        <w:t>.</w:t>
      </w:r>
    </w:p>
    <w:p w:rsidR="00367ED4" w:rsidRDefault="00367ED4" w:rsidP="000F6FCD">
      <w:pPr>
        <w:jc w:val="both"/>
        <w:rPr>
          <w:rFonts w:ascii="Arial" w:hAnsi="Arial" w:cs="Arial"/>
          <w:sz w:val="22"/>
          <w:szCs w:val="22"/>
        </w:rPr>
      </w:pPr>
    </w:p>
    <w:p w:rsidR="000F6FCD" w:rsidRPr="00A9634F" w:rsidRDefault="007B0845" w:rsidP="000F6FCD">
      <w:pPr>
        <w:jc w:val="both"/>
        <w:rPr>
          <w:rFonts w:ascii="Arial" w:hAnsi="Arial" w:cs="Arial"/>
          <w:sz w:val="22"/>
          <w:szCs w:val="22"/>
        </w:rPr>
      </w:pPr>
      <w:r>
        <w:rPr>
          <w:rFonts w:ascii="Arial" w:hAnsi="Arial" w:cs="Arial"/>
          <w:sz w:val="22"/>
          <w:szCs w:val="22"/>
        </w:rPr>
        <w:t xml:space="preserve">Los Indicadores # s 7, del Trimestre como del período respectivamente, reflejan un porcentaje bajo debido a : El registro de quejas depende de la demanda para el cumplimiento de la </w:t>
      </w:r>
      <w:r w:rsidR="00F906AD" w:rsidRPr="00DD7B0B">
        <w:rPr>
          <w:rFonts w:ascii="Arial" w:hAnsi="Arial" w:cs="Arial"/>
          <w:b/>
          <w:color w:val="000000" w:themeColor="text1"/>
          <w:sz w:val="22"/>
          <w:szCs w:val="22"/>
        </w:rPr>
        <w:t>meta</w:t>
      </w:r>
      <w:r w:rsidR="00DD7B0B" w:rsidRPr="00DD7B0B">
        <w:rPr>
          <w:rFonts w:ascii="Arial" w:hAnsi="Arial" w:cs="Arial"/>
          <w:b/>
          <w:color w:val="000000" w:themeColor="text1"/>
          <w:sz w:val="22"/>
          <w:szCs w:val="22"/>
        </w:rPr>
        <w:t>.</w:t>
      </w:r>
      <w:r w:rsidR="00DD7B0B">
        <w:rPr>
          <w:rFonts w:ascii="Arial" w:hAnsi="Arial" w:cs="Arial"/>
          <w:color w:val="000000" w:themeColor="text1"/>
          <w:sz w:val="22"/>
          <w:szCs w:val="22"/>
        </w:rPr>
        <w:t xml:space="preserve"> </w:t>
      </w:r>
      <w:r w:rsidR="00367ED4">
        <w:rPr>
          <w:rFonts w:ascii="Arial" w:hAnsi="Arial" w:cs="Arial"/>
          <w:sz w:val="22"/>
          <w:szCs w:val="22"/>
        </w:rPr>
        <w:t>La queja registrada es sobre la Tala de árboles en Comasagua La Libertad.</w:t>
      </w:r>
      <w:r>
        <w:rPr>
          <w:rFonts w:ascii="Arial" w:hAnsi="Arial" w:cs="Arial"/>
          <w:sz w:val="22"/>
          <w:szCs w:val="22"/>
        </w:rPr>
        <w:t xml:space="preserve"> </w:t>
      </w:r>
    </w:p>
    <w:p w:rsidR="00367ED4" w:rsidRDefault="00367ED4" w:rsidP="000F6FCD">
      <w:pPr>
        <w:jc w:val="both"/>
        <w:rPr>
          <w:rFonts w:ascii="Arial" w:hAnsi="Arial" w:cs="Arial"/>
          <w:sz w:val="22"/>
          <w:szCs w:val="22"/>
        </w:rPr>
      </w:pPr>
    </w:p>
    <w:p w:rsidR="000F6FCD" w:rsidRDefault="000F6FCD" w:rsidP="000F6FCD">
      <w:pPr>
        <w:jc w:val="both"/>
        <w:rPr>
          <w:rFonts w:ascii="Arial" w:hAnsi="Arial" w:cs="Arial"/>
          <w:sz w:val="22"/>
          <w:szCs w:val="22"/>
        </w:rPr>
      </w:pPr>
      <w:r w:rsidRPr="00A9634F">
        <w:rPr>
          <w:rFonts w:ascii="Arial" w:hAnsi="Arial" w:cs="Arial"/>
          <w:sz w:val="22"/>
          <w:szCs w:val="22"/>
        </w:rPr>
        <w:t>Por otra</w:t>
      </w:r>
      <w:r>
        <w:rPr>
          <w:rFonts w:ascii="Arial" w:hAnsi="Arial" w:cs="Arial"/>
          <w:sz w:val="22"/>
          <w:szCs w:val="22"/>
        </w:rPr>
        <w:t xml:space="preserve"> parte, en cumplimiento de recomendaciones de la Corte de Cuentas de República, se recuerda a los Directores, Jefes de planificación y/o Referentes institucionales que, al interior de la Dependencia, tienen la responsabilidad de controlar y corroborar que cada meta reportada como realizada en los informes de cumplimiento, debe de contar con las evidencias que demuestren la concreción efectiva de la misma.</w:t>
      </w:r>
    </w:p>
    <w:p w:rsidR="000F6FCD" w:rsidRDefault="000F6FCD" w:rsidP="000F6FCD">
      <w:pPr>
        <w:jc w:val="both"/>
        <w:rPr>
          <w:rFonts w:ascii="Arial" w:hAnsi="Arial" w:cs="Arial"/>
          <w:sz w:val="22"/>
          <w:szCs w:val="22"/>
        </w:rPr>
      </w:pPr>
    </w:p>
    <w:p w:rsidR="002B0257" w:rsidRPr="00DD7B0B" w:rsidRDefault="000F6FCD" w:rsidP="000F6FCD">
      <w:pPr>
        <w:pStyle w:val="Textoindependiente3"/>
        <w:spacing w:line="228" w:lineRule="auto"/>
        <w:rPr>
          <w:color w:val="000000" w:themeColor="text1"/>
        </w:rPr>
      </w:pPr>
      <w:r w:rsidRPr="00DD7B0B">
        <w:rPr>
          <w:color w:val="000000" w:themeColor="text1"/>
        </w:rPr>
        <w:t>Basado en los niveles de cumplimiento logrados por la O</w:t>
      </w:r>
      <w:r w:rsidR="007B0845" w:rsidRPr="00DD7B0B">
        <w:rPr>
          <w:color w:val="000000" w:themeColor="text1"/>
        </w:rPr>
        <w:t>IR</w:t>
      </w:r>
      <w:r w:rsidRPr="00DD7B0B">
        <w:rPr>
          <w:color w:val="000000" w:themeColor="text1"/>
        </w:rPr>
        <w:t>, en el trimestre analizado, se concluye que el personal de dicha unidad ha realizado un trabajo muy bueno en lo que respecta a los procesos y actividades para obtener los Resultados.</w:t>
      </w:r>
      <w:r w:rsidR="002B0257" w:rsidRPr="00DD7B0B">
        <w:rPr>
          <w:color w:val="000000" w:themeColor="text1"/>
        </w:rPr>
        <w:t xml:space="preserve"> Producto de los resultados y como parte del proceso de seguimiento y evaluación se indica que se realiz</w:t>
      </w:r>
      <w:r w:rsidR="00DD7B0B" w:rsidRPr="00DD7B0B">
        <w:rPr>
          <w:color w:val="000000" w:themeColor="text1"/>
        </w:rPr>
        <w:t>a</w:t>
      </w:r>
      <w:r w:rsidR="002B0257" w:rsidRPr="00DD7B0B">
        <w:rPr>
          <w:color w:val="000000" w:themeColor="text1"/>
        </w:rPr>
        <w:t>r</w:t>
      </w:r>
      <w:r w:rsidR="00DD7B0B" w:rsidRPr="00DD7B0B">
        <w:rPr>
          <w:color w:val="000000" w:themeColor="text1"/>
        </w:rPr>
        <w:t>á</w:t>
      </w:r>
      <w:r w:rsidR="002B0257" w:rsidRPr="00DD7B0B">
        <w:rPr>
          <w:color w:val="000000" w:themeColor="text1"/>
        </w:rPr>
        <w:t xml:space="preserve"> visitas de verificación de evidencias</w:t>
      </w:r>
    </w:p>
    <w:p w:rsidR="000F6FCD" w:rsidRPr="00F32AD5" w:rsidRDefault="000F6FCD" w:rsidP="000F6FCD">
      <w:pPr>
        <w:pStyle w:val="Textoindependiente3"/>
        <w:spacing w:line="228" w:lineRule="auto"/>
        <w:rPr>
          <w:color w:val="FF0000"/>
        </w:rPr>
      </w:pPr>
    </w:p>
    <w:p w:rsidR="000F6FCD" w:rsidRPr="00362784" w:rsidRDefault="000F6FCD" w:rsidP="000F6FCD">
      <w:pPr>
        <w:pStyle w:val="Textoindependiente3"/>
        <w:spacing w:line="228" w:lineRule="auto"/>
        <w:rPr>
          <w:color w:val="000000" w:themeColor="text1"/>
        </w:rPr>
      </w:pPr>
      <w:r w:rsidRPr="00362784">
        <w:rPr>
          <w:color w:val="000000" w:themeColor="text1"/>
        </w:rPr>
        <w:t>En este contexto, se insta a todo el personal a continuar con el mismo empeño en lo que resta del año, de manera que las metas se ejecuten con eficacia, eficiencia y economía, y se obtengan los Resultados previstos. De igual manera, se recuerda al Referente Institucional que debe velar porque se resguarde la evidencia que demuestre fehacientemente la realización de cada meta reportada como ejecutada.</w:t>
      </w:r>
    </w:p>
    <w:p w:rsidR="000F6FCD" w:rsidRDefault="000F6FCD" w:rsidP="000F6FCD">
      <w:pPr>
        <w:jc w:val="both"/>
        <w:rPr>
          <w:rFonts w:ascii="Arial" w:hAnsi="Arial" w:cs="Arial"/>
          <w:sz w:val="22"/>
          <w:szCs w:val="22"/>
        </w:rPr>
      </w:pPr>
    </w:p>
    <w:p w:rsidR="000F6FCD" w:rsidRDefault="000F6FCD" w:rsidP="000F6FCD">
      <w:pPr>
        <w:spacing w:line="216" w:lineRule="auto"/>
        <w:jc w:val="both"/>
        <w:rPr>
          <w:rFonts w:ascii="Arial" w:hAnsi="Arial" w:cs="Arial"/>
          <w:sz w:val="22"/>
          <w:szCs w:val="22"/>
        </w:rPr>
      </w:pPr>
      <w:r>
        <w:rPr>
          <w:rFonts w:ascii="Arial" w:hAnsi="Arial" w:cs="Arial"/>
          <w:b/>
          <w:sz w:val="22"/>
          <w:szCs w:val="22"/>
        </w:rPr>
        <w:t>Anexo 1.</w:t>
      </w:r>
      <w:r>
        <w:rPr>
          <w:rFonts w:ascii="Arial" w:hAnsi="Arial" w:cs="Arial"/>
          <w:sz w:val="22"/>
          <w:szCs w:val="22"/>
        </w:rPr>
        <w:t xml:space="preserve"> </w:t>
      </w:r>
      <w:r w:rsidRPr="007153AF">
        <w:rPr>
          <w:rFonts w:ascii="Arial" w:hAnsi="Arial" w:cs="Arial"/>
          <w:sz w:val="22"/>
          <w:szCs w:val="22"/>
        </w:rPr>
        <w:t xml:space="preserve">Avance físico en porcentaje en el trimestre de </w:t>
      </w:r>
      <w:r w:rsidRPr="007153AF">
        <w:rPr>
          <w:rFonts w:ascii="Arial" w:hAnsi="Arial" w:cs="Arial"/>
          <w:b/>
          <w:sz w:val="22"/>
          <w:szCs w:val="22"/>
        </w:rPr>
        <w:t>abril-junio</w:t>
      </w:r>
      <w:r w:rsidRPr="007153AF">
        <w:rPr>
          <w:rFonts w:ascii="Arial" w:hAnsi="Arial" w:cs="Arial"/>
          <w:sz w:val="22"/>
          <w:szCs w:val="22"/>
        </w:rPr>
        <w:t xml:space="preserve"> y periodo </w:t>
      </w:r>
      <w:r w:rsidRPr="007153AF">
        <w:rPr>
          <w:rFonts w:ascii="Arial" w:hAnsi="Arial" w:cs="Arial"/>
          <w:b/>
          <w:sz w:val="22"/>
          <w:szCs w:val="22"/>
        </w:rPr>
        <w:t>enero-junio</w:t>
      </w:r>
      <w:r w:rsidRPr="007153AF">
        <w:rPr>
          <w:rFonts w:ascii="Arial" w:hAnsi="Arial" w:cs="Arial"/>
          <w:sz w:val="22"/>
          <w:szCs w:val="22"/>
        </w:rPr>
        <w:t xml:space="preserve"> de 201</w:t>
      </w:r>
      <w:r>
        <w:rPr>
          <w:rFonts w:ascii="Arial" w:hAnsi="Arial" w:cs="Arial"/>
          <w:sz w:val="22"/>
          <w:szCs w:val="22"/>
        </w:rPr>
        <w:t>9</w:t>
      </w:r>
      <w:r w:rsidRPr="007153AF">
        <w:rPr>
          <w:rFonts w:ascii="Arial" w:hAnsi="Arial" w:cs="Arial"/>
          <w:sz w:val="22"/>
          <w:szCs w:val="22"/>
        </w:rPr>
        <w:t>, según Resultado y total Institución</w:t>
      </w:r>
      <w:r>
        <w:rPr>
          <w:rFonts w:ascii="Arial" w:hAnsi="Arial" w:cs="Arial"/>
          <w:sz w:val="22"/>
          <w:szCs w:val="22"/>
        </w:rPr>
        <w:t>.</w:t>
      </w:r>
    </w:p>
    <w:tbl>
      <w:tblPr>
        <w:tblW w:w="963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463"/>
        <w:gridCol w:w="5633"/>
        <w:gridCol w:w="1701"/>
        <w:gridCol w:w="1842"/>
      </w:tblGrid>
      <w:tr w:rsidR="000F6FCD" w:rsidTr="00AE0AFC">
        <w:trPr>
          <w:cantSplit/>
          <w:trHeight w:val="467"/>
        </w:trPr>
        <w:tc>
          <w:tcPr>
            <w:tcW w:w="463" w:type="dxa"/>
            <w:vMerge w:val="restart"/>
            <w:tcBorders>
              <w:top w:val="double" w:sz="4" w:space="0" w:color="auto"/>
              <w:left w:val="double" w:sz="4" w:space="0" w:color="auto"/>
              <w:bottom w:val="single" w:sz="6" w:space="0" w:color="auto"/>
              <w:right w:val="single" w:sz="6" w:space="0" w:color="auto"/>
            </w:tcBorders>
            <w:vAlign w:val="center"/>
          </w:tcPr>
          <w:p w:rsidR="000F6FCD" w:rsidRPr="004F4A31" w:rsidRDefault="000F6FCD" w:rsidP="00AE0AFC">
            <w:pPr>
              <w:pStyle w:val="Ttulo1"/>
              <w:spacing w:line="216" w:lineRule="auto"/>
              <w:jc w:val="left"/>
              <w:rPr>
                <w:rFonts w:cs="Arial"/>
                <w:sz w:val="20"/>
                <w:szCs w:val="20"/>
              </w:rPr>
            </w:pPr>
            <w:r w:rsidRPr="004F4A31">
              <w:rPr>
                <w:rFonts w:cs="Arial"/>
                <w:sz w:val="20"/>
                <w:szCs w:val="20"/>
              </w:rPr>
              <w:t>No.</w:t>
            </w:r>
          </w:p>
        </w:tc>
        <w:tc>
          <w:tcPr>
            <w:tcW w:w="5633" w:type="dxa"/>
            <w:vMerge w:val="restart"/>
            <w:tcBorders>
              <w:top w:val="double" w:sz="4" w:space="0" w:color="auto"/>
              <w:left w:val="single" w:sz="6" w:space="0" w:color="auto"/>
              <w:bottom w:val="single" w:sz="6" w:space="0" w:color="auto"/>
              <w:right w:val="single" w:sz="6" w:space="0" w:color="auto"/>
            </w:tcBorders>
            <w:vAlign w:val="center"/>
          </w:tcPr>
          <w:p w:rsidR="000F6FCD" w:rsidRPr="007F76AF" w:rsidRDefault="000F6FCD" w:rsidP="00AE0AFC">
            <w:pPr>
              <w:pStyle w:val="Ttulo3"/>
              <w:spacing w:line="216" w:lineRule="auto"/>
              <w:ind w:left="360"/>
              <w:jc w:val="center"/>
              <w:rPr>
                <w:color w:val="000000" w:themeColor="text1"/>
              </w:rPr>
            </w:pPr>
            <w:r w:rsidRPr="007F76AF">
              <w:rPr>
                <w:color w:val="000000" w:themeColor="text1"/>
                <w:sz w:val="22"/>
                <w:szCs w:val="22"/>
              </w:rPr>
              <w:t>RESULTADO</w:t>
            </w:r>
          </w:p>
        </w:tc>
        <w:tc>
          <w:tcPr>
            <w:tcW w:w="1701" w:type="dxa"/>
            <w:tcBorders>
              <w:top w:val="double" w:sz="4" w:space="0" w:color="auto"/>
              <w:left w:val="single" w:sz="6" w:space="0" w:color="auto"/>
              <w:bottom w:val="single" w:sz="6" w:space="0" w:color="auto"/>
              <w:right w:val="double" w:sz="4" w:space="0" w:color="auto"/>
            </w:tcBorders>
            <w:vAlign w:val="center"/>
          </w:tcPr>
          <w:p w:rsidR="000F6FCD" w:rsidRDefault="000F6FCD" w:rsidP="00AE0AFC">
            <w:pPr>
              <w:spacing w:line="216" w:lineRule="auto"/>
              <w:jc w:val="center"/>
              <w:rPr>
                <w:rFonts w:ascii="Arial" w:hAnsi="Arial" w:cs="Arial"/>
                <w:b/>
              </w:rPr>
            </w:pPr>
            <w:r>
              <w:rPr>
                <w:rFonts w:ascii="Arial" w:hAnsi="Arial" w:cs="Arial"/>
                <w:b/>
                <w:sz w:val="22"/>
                <w:szCs w:val="22"/>
              </w:rPr>
              <w:t>ABRIL-JUNIO</w:t>
            </w:r>
          </w:p>
        </w:tc>
        <w:tc>
          <w:tcPr>
            <w:tcW w:w="1842" w:type="dxa"/>
            <w:tcBorders>
              <w:top w:val="double" w:sz="4" w:space="0" w:color="auto"/>
              <w:left w:val="single" w:sz="6" w:space="0" w:color="auto"/>
              <w:bottom w:val="single" w:sz="6" w:space="0" w:color="auto"/>
              <w:right w:val="double" w:sz="4" w:space="0" w:color="auto"/>
            </w:tcBorders>
            <w:vAlign w:val="center"/>
          </w:tcPr>
          <w:p w:rsidR="000F6FCD" w:rsidRDefault="000F6FCD" w:rsidP="00AE0AFC">
            <w:pPr>
              <w:spacing w:line="216" w:lineRule="auto"/>
              <w:jc w:val="center"/>
              <w:rPr>
                <w:rFonts w:ascii="Arial" w:hAnsi="Arial" w:cs="Arial"/>
                <w:b/>
              </w:rPr>
            </w:pPr>
            <w:r>
              <w:rPr>
                <w:rFonts w:ascii="Arial" w:hAnsi="Arial" w:cs="Arial"/>
                <w:b/>
                <w:sz w:val="22"/>
                <w:szCs w:val="22"/>
              </w:rPr>
              <w:t>ENERO-JUNIO</w:t>
            </w:r>
          </w:p>
        </w:tc>
      </w:tr>
      <w:tr w:rsidR="000F6FCD" w:rsidTr="00AE0AFC">
        <w:trPr>
          <w:cantSplit/>
          <w:trHeight w:val="425"/>
        </w:trPr>
        <w:tc>
          <w:tcPr>
            <w:tcW w:w="463" w:type="dxa"/>
            <w:vMerge/>
            <w:tcBorders>
              <w:top w:val="single" w:sz="6" w:space="0" w:color="auto"/>
              <w:left w:val="double" w:sz="4" w:space="0" w:color="auto"/>
              <w:bottom w:val="double" w:sz="4" w:space="0" w:color="auto"/>
              <w:right w:val="single" w:sz="6" w:space="0" w:color="auto"/>
            </w:tcBorders>
          </w:tcPr>
          <w:p w:rsidR="000F6FCD" w:rsidRPr="004F4A31" w:rsidRDefault="000F6FCD" w:rsidP="00AE0AFC">
            <w:pPr>
              <w:spacing w:line="216" w:lineRule="auto"/>
              <w:jc w:val="center"/>
              <w:rPr>
                <w:rFonts w:ascii="Arial" w:hAnsi="Arial" w:cs="Arial"/>
                <w:b/>
                <w:sz w:val="20"/>
                <w:szCs w:val="20"/>
              </w:rPr>
            </w:pPr>
          </w:p>
        </w:tc>
        <w:tc>
          <w:tcPr>
            <w:tcW w:w="5633" w:type="dxa"/>
            <w:vMerge/>
            <w:tcBorders>
              <w:top w:val="single" w:sz="6" w:space="0" w:color="auto"/>
              <w:left w:val="single" w:sz="6" w:space="0" w:color="auto"/>
              <w:bottom w:val="double" w:sz="4" w:space="0" w:color="auto"/>
              <w:right w:val="single" w:sz="6" w:space="0" w:color="auto"/>
            </w:tcBorders>
          </w:tcPr>
          <w:p w:rsidR="000F6FCD" w:rsidRDefault="000F6FCD" w:rsidP="00AE0AFC">
            <w:pPr>
              <w:spacing w:line="216" w:lineRule="auto"/>
              <w:jc w:val="center"/>
              <w:rPr>
                <w:rFonts w:ascii="Arial" w:hAnsi="Arial" w:cs="Arial"/>
              </w:rPr>
            </w:pPr>
          </w:p>
        </w:tc>
        <w:tc>
          <w:tcPr>
            <w:tcW w:w="3543" w:type="dxa"/>
            <w:gridSpan w:val="2"/>
            <w:tcBorders>
              <w:top w:val="single" w:sz="6" w:space="0" w:color="auto"/>
              <w:left w:val="single" w:sz="6" w:space="0" w:color="auto"/>
              <w:bottom w:val="double" w:sz="4" w:space="0" w:color="auto"/>
              <w:right w:val="double" w:sz="4" w:space="0" w:color="auto"/>
            </w:tcBorders>
            <w:vAlign w:val="center"/>
          </w:tcPr>
          <w:p w:rsidR="000F6FCD" w:rsidRDefault="000F6FCD" w:rsidP="00AE0AFC">
            <w:pPr>
              <w:spacing w:line="216" w:lineRule="auto"/>
              <w:jc w:val="center"/>
              <w:rPr>
                <w:rFonts w:ascii="Arial" w:hAnsi="Arial" w:cs="Arial"/>
                <w:b/>
              </w:rPr>
            </w:pPr>
            <w:r>
              <w:rPr>
                <w:rFonts w:ascii="Arial" w:hAnsi="Arial" w:cs="Arial"/>
                <w:b/>
                <w:sz w:val="22"/>
                <w:szCs w:val="22"/>
              </w:rPr>
              <w:t>AVANCE FISICO (%)</w:t>
            </w:r>
          </w:p>
        </w:tc>
      </w:tr>
      <w:tr w:rsidR="000F6FCD" w:rsidRPr="00891D23" w:rsidTr="00AE0AFC">
        <w:trPr>
          <w:cantSplit/>
          <w:trHeight w:val="379"/>
        </w:trPr>
        <w:tc>
          <w:tcPr>
            <w:tcW w:w="463" w:type="dxa"/>
            <w:tcBorders>
              <w:top w:val="double" w:sz="4" w:space="0" w:color="auto"/>
              <w:left w:val="double" w:sz="4" w:space="0" w:color="auto"/>
              <w:bottom w:val="single" w:sz="4" w:space="0" w:color="auto"/>
              <w:right w:val="single" w:sz="4" w:space="0" w:color="auto"/>
            </w:tcBorders>
            <w:vAlign w:val="center"/>
          </w:tcPr>
          <w:p w:rsidR="000F6FCD" w:rsidRPr="00891D23" w:rsidRDefault="000F6FCD" w:rsidP="00AE0AFC">
            <w:pPr>
              <w:spacing w:line="216" w:lineRule="auto"/>
              <w:jc w:val="center"/>
              <w:rPr>
                <w:rFonts w:asciiTheme="minorHAnsi" w:hAnsiTheme="minorHAnsi" w:cs="Arial"/>
                <w:b/>
                <w:bCs/>
              </w:rPr>
            </w:pPr>
            <w:r w:rsidRPr="00891D23">
              <w:rPr>
                <w:rFonts w:asciiTheme="minorHAnsi" w:hAnsiTheme="minorHAnsi" w:cs="Arial"/>
                <w:b/>
                <w:bCs/>
                <w:sz w:val="22"/>
                <w:szCs w:val="22"/>
              </w:rPr>
              <w:t>1</w:t>
            </w:r>
          </w:p>
        </w:tc>
        <w:tc>
          <w:tcPr>
            <w:tcW w:w="5633" w:type="dxa"/>
            <w:tcBorders>
              <w:top w:val="double" w:sz="4" w:space="0" w:color="auto"/>
              <w:left w:val="single" w:sz="4" w:space="0" w:color="auto"/>
              <w:bottom w:val="single" w:sz="4" w:space="0" w:color="auto"/>
              <w:right w:val="single" w:sz="4" w:space="0" w:color="auto"/>
            </w:tcBorders>
            <w:vAlign w:val="center"/>
          </w:tcPr>
          <w:p w:rsidR="000F6FCD" w:rsidRPr="00891D23" w:rsidRDefault="00367ED4" w:rsidP="00367ED4">
            <w:pPr>
              <w:jc w:val="both"/>
              <w:rPr>
                <w:rFonts w:asciiTheme="minorHAnsi" w:hAnsiTheme="minorHAnsi" w:cs="Arial"/>
                <w:b/>
                <w:sz w:val="20"/>
                <w:szCs w:val="20"/>
              </w:rPr>
            </w:pPr>
            <w:r w:rsidRPr="00891D23">
              <w:rPr>
                <w:rFonts w:asciiTheme="minorHAnsi" w:hAnsiTheme="minorHAnsi" w:cs="Arial"/>
                <w:b/>
                <w:sz w:val="20"/>
                <w:szCs w:val="20"/>
              </w:rPr>
              <w:t>Fortalecer la atención y los servicios que presta la OIR al usuario</w:t>
            </w:r>
            <w:r w:rsidR="00891D23" w:rsidRPr="00891D23">
              <w:rPr>
                <w:rFonts w:asciiTheme="minorHAnsi" w:hAnsiTheme="minorHAnsi" w:cs="Arial"/>
                <w:b/>
                <w:sz w:val="20"/>
                <w:szCs w:val="20"/>
              </w:rPr>
              <w:t>.</w:t>
            </w:r>
          </w:p>
        </w:tc>
        <w:tc>
          <w:tcPr>
            <w:tcW w:w="1701" w:type="dxa"/>
            <w:tcBorders>
              <w:top w:val="double" w:sz="4" w:space="0" w:color="auto"/>
              <w:left w:val="single" w:sz="4" w:space="0" w:color="auto"/>
              <w:bottom w:val="single" w:sz="4" w:space="0" w:color="auto"/>
              <w:right w:val="double" w:sz="4" w:space="0" w:color="auto"/>
            </w:tcBorders>
            <w:vAlign w:val="center"/>
          </w:tcPr>
          <w:p w:rsidR="00891D23" w:rsidRPr="00891D23" w:rsidRDefault="00891D23" w:rsidP="00891D23">
            <w:pPr>
              <w:spacing w:line="216" w:lineRule="auto"/>
              <w:jc w:val="center"/>
              <w:rPr>
                <w:rFonts w:asciiTheme="minorHAnsi" w:hAnsiTheme="minorHAnsi" w:cs="Arial"/>
                <w:b/>
                <w:bCs/>
              </w:rPr>
            </w:pPr>
            <w:r w:rsidRPr="00891D23">
              <w:rPr>
                <w:rFonts w:asciiTheme="minorHAnsi" w:hAnsiTheme="minorHAnsi" w:cs="Arial"/>
                <w:b/>
                <w:bCs/>
                <w:sz w:val="22"/>
                <w:szCs w:val="22"/>
              </w:rPr>
              <w:t>0</w:t>
            </w:r>
          </w:p>
        </w:tc>
        <w:tc>
          <w:tcPr>
            <w:tcW w:w="1842" w:type="dxa"/>
            <w:tcBorders>
              <w:top w:val="double" w:sz="4" w:space="0" w:color="auto"/>
              <w:left w:val="single" w:sz="4" w:space="0" w:color="auto"/>
              <w:bottom w:val="single" w:sz="4" w:space="0" w:color="auto"/>
              <w:right w:val="double" w:sz="4" w:space="0" w:color="auto"/>
            </w:tcBorders>
            <w:vAlign w:val="center"/>
          </w:tcPr>
          <w:p w:rsidR="000F6FCD" w:rsidRPr="00891D23" w:rsidRDefault="00891D23" w:rsidP="00AE0AFC">
            <w:pPr>
              <w:spacing w:line="216" w:lineRule="auto"/>
              <w:jc w:val="center"/>
              <w:rPr>
                <w:rFonts w:asciiTheme="minorHAnsi" w:hAnsiTheme="minorHAnsi" w:cs="Arial"/>
                <w:b/>
                <w:bCs/>
              </w:rPr>
            </w:pPr>
            <w:r>
              <w:rPr>
                <w:rFonts w:asciiTheme="minorHAnsi" w:hAnsiTheme="minorHAnsi" w:cs="Arial"/>
                <w:b/>
                <w:bCs/>
                <w:sz w:val="22"/>
                <w:szCs w:val="22"/>
              </w:rPr>
              <w:t>0</w:t>
            </w:r>
          </w:p>
        </w:tc>
      </w:tr>
      <w:tr w:rsidR="000F6FCD" w:rsidRPr="00891D23" w:rsidTr="00AE0AFC">
        <w:trPr>
          <w:cantSplit/>
          <w:trHeight w:val="351"/>
        </w:trPr>
        <w:tc>
          <w:tcPr>
            <w:tcW w:w="463" w:type="dxa"/>
            <w:tcBorders>
              <w:top w:val="single" w:sz="4" w:space="0" w:color="auto"/>
              <w:left w:val="double" w:sz="4" w:space="0" w:color="auto"/>
              <w:bottom w:val="single" w:sz="4" w:space="0" w:color="auto"/>
              <w:right w:val="single" w:sz="4" w:space="0" w:color="auto"/>
            </w:tcBorders>
            <w:vAlign w:val="center"/>
          </w:tcPr>
          <w:p w:rsidR="000F6FCD" w:rsidRPr="00891D23" w:rsidRDefault="000F6FCD" w:rsidP="00AE0AFC">
            <w:pPr>
              <w:spacing w:line="216" w:lineRule="auto"/>
              <w:jc w:val="center"/>
              <w:rPr>
                <w:rFonts w:asciiTheme="minorHAnsi" w:hAnsiTheme="minorHAnsi" w:cs="Arial"/>
                <w:b/>
              </w:rPr>
            </w:pPr>
            <w:r w:rsidRPr="00891D23">
              <w:rPr>
                <w:rFonts w:asciiTheme="minorHAnsi" w:hAnsiTheme="minorHAnsi" w:cs="Arial"/>
                <w:b/>
                <w:sz w:val="22"/>
                <w:szCs w:val="22"/>
              </w:rPr>
              <w:t>2</w:t>
            </w:r>
          </w:p>
        </w:tc>
        <w:tc>
          <w:tcPr>
            <w:tcW w:w="5633" w:type="dxa"/>
            <w:tcBorders>
              <w:top w:val="single" w:sz="4" w:space="0" w:color="auto"/>
              <w:left w:val="single" w:sz="4" w:space="0" w:color="auto"/>
              <w:bottom w:val="single" w:sz="4" w:space="0" w:color="auto"/>
              <w:right w:val="single" w:sz="4" w:space="0" w:color="auto"/>
            </w:tcBorders>
            <w:vAlign w:val="center"/>
          </w:tcPr>
          <w:p w:rsidR="000F6FCD" w:rsidRPr="00891D23" w:rsidRDefault="00367ED4" w:rsidP="00891D23">
            <w:pPr>
              <w:jc w:val="both"/>
              <w:rPr>
                <w:rFonts w:asciiTheme="minorHAnsi" w:hAnsiTheme="minorHAnsi" w:cs="Arial"/>
                <w:b/>
                <w:sz w:val="20"/>
                <w:szCs w:val="20"/>
              </w:rPr>
            </w:pPr>
            <w:r w:rsidRPr="00891D23">
              <w:rPr>
                <w:rFonts w:asciiTheme="minorHAnsi" w:hAnsiTheme="minorHAnsi" w:cs="Arial"/>
                <w:b/>
                <w:sz w:val="20"/>
                <w:szCs w:val="20"/>
              </w:rPr>
              <w:t>Capacitar al personal sobre la Ley de Acceso a la Información Pública</w:t>
            </w:r>
            <w:r w:rsidR="00891D23" w:rsidRPr="00891D23">
              <w:rPr>
                <w:rFonts w:asciiTheme="minorHAnsi" w:hAnsiTheme="minorHAnsi" w:cs="Arial"/>
                <w:b/>
                <w:sz w:val="20"/>
                <w:szCs w:val="20"/>
              </w:rPr>
              <w:t>.</w:t>
            </w:r>
          </w:p>
        </w:tc>
        <w:tc>
          <w:tcPr>
            <w:tcW w:w="1701" w:type="dxa"/>
            <w:tcBorders>
              <w:top w:val="single" w:sz="4" w:space="0" w:color="auto"/>
              <w:left w:val="single" w:sz="4" w:space="0" w:color="auto"/>
              <w:bottom w:val="single" w:sz="4" w:space="0" w:color="auto"/>
              <w:right w:val="double" w:sz="4" w:space="0" w:color="auto"/>
            </w:tcBorders>
            <w:vAlign w:val="center"/>
          </w:tcPr>
          <w:p w:rsidR="000F6FCD" w:rsidRPr="00891D23" w:rsidRDefault="00891D23" w:rsidP="00AE0AFC">
            <w:pPr>
              <w:spacing w:line="216" w:lineRule="auto"/>
              <w:jc w:val="center"/>
              <w:rPr>
                <w:rFonts w:asciiTheme="minorHAnsi" w:hAnsiTheme="minorHAnsi" w:cs="Arial"/>
                <w:b/>
                <w:bCs/>
              </w:rPr>
            </w:pPr>
            <w:r w:rsidRPr="00891D23">
              <w:rPr>
                <w:rFonts w:asciiTheme="minorHAnsi" w:hAnsiTheme="minorHAnsi" w:cs="Arial"/>
                <w:b/>
                <w:bCs/>
                <w:sz w:val="22"/>
                <w:szCs w:val="22"/>
              </w:rPr>
              <w:t>0</w:t>
            </w:r>
          </w:p>
        </w:tc>
        <w:tc>
          <w:tcPr>
            <w:tcW w:w="1842" w:type="dxa"/>
            <w:tcBorders>
              <w:top w:val="single" w:sz="4" w:space="0" w:color="auto"/>
              <w:left w:val="single" w:sz="4" w:space="0" w:color="auto"/>
              <w:bottom w:val="single" w:sz="4" w:space="0" w:color="auto"/>
              <w:right w:val="double" w:sz="4" w:space="0" w:color="auto"/>
            </w:tcBorders>
            <w:vAlign w:val="center"/>
          </w:tcPr>
          <w:p w:rsidR="000F6FCD" w:rsidRPr="00891D23" w:rsidRDefault="00891D23" w:rsidP="00AE0AFC">
            <w:pPr>
              <w:spacing w:line="216" w:lineRule="auto"/>
              <w:jc w:val="center"/>
              <w:rPr>
                <w:rFonts w:asciiTheme="minorHAnsi" w:hAnsiTheme="minorHAnsi" w:cs="Arial"/>
                <w:b/>
                <w:bCs/>
              </w:rPr>
            </w:pPr>
            <w:r>
              <w:rPr>
                <w:rFonts w:asciiTheme="minorHAnsi" w:hAnsiTheme="minorHAnsi" w:cs="Arial"/>
                <w:b/>
                <w:bCs/>
                <w:sz w:val="22"/>
                <w:szCs w:val="22"/>
              </w:rPr>
              <w:t>100</w:t>
            </w:r>
          </w:p>
        </w:tc>
      </w:tr>
      <w:tr w:rsidR="000F6FCD" w:rsidRPr="00891D23" w:rsidTr="00AE0AFC">
        <w:trPr>
          <w:cantSplit/>
          <w:trHeight w:val="351"/>
        </w:trPr>
        <w:tc>
          <w:tcPr>
            <w:tcW w:w="463" w:type="dxa"/>
            <w:tcBorders>
              <w:top w:val="single" w:sz="4" w:space="0" w:color="auto"/>
              <w:left w:val="double" w:sz="4" w:space="0" w:color="auto"/>
              <w:bottom w:val="single" w:sz="4" w:space="0" w:color="auto"/>
              <w:right w:val="single" w:sz="4" w:space="0" w:color="auto"/>
            </w:tcBorders>
            <w:vAlign w:val="center"/>
          </w:tcPr>
          <w:p w:rsidR="000F6FCD" w:rsidRPr="00891D23" w:rsidRDefault="000F6FCD" w:rsidP="00AE0AFC">
            <w:pPr>
              <w:spacing w:line="216" w:lineRule="auto"/>
              <w:jc w:val="center"/>
              <w:rPr>
                <w:rFonts w:asciiTheme="minorHAnsi" w:hAnsiTheme="minorHAnsi" w:cs="Arial"/>
                <w:b/>
              </w:rPr>
            </w:pPr>
            <w:r w:rsidRPr="00891D23">
              <w:rPr>
                <w:rFonts w:asciiTheme="minorHAnsi" w:hAnsiTheme="minorHAnsi" w:cs="Arial"/>
                <w:b/>
                <w:sz w:val="22"/>
                <w:szCs w:val="22"/>
              </w:rPr>
              <w:t>3</w:t>
            </w:r>
          </w:p>
        </w:tc>
        <w:tc>
          <w:tcPr>
            <w:tcW w:w="5633" w:type="dxa"/>
            <w:tcBorders>
              <w:top w:val="single" w:sz="4" w:space="0" w:color="auto"/>
              <w:left w:val="single" w:sz="4" w:space="0" w:color="auto"/>
              <w:bottom w:val="single" w:sz="4" w:space="0" w:color="auto"/>
              <w:right w:val="single" w:sz="4" w:space="0" w:color="auto"/>
            </w:tcBorders>
            <w:vAlign w:val="center"/>
          </w:tcPr>
          <w:p w:rsidR="000F6FCD" w:rsidRPr="00891D23" w:rsidRDefault="00891D23" w:rsidP="00891D23">
            <w:pPr>
              <w:jc w:val="both"/>
              <w:rPr>
                <w:rFonts w:asciiTheme="minorHAnsi" w:hAnsiTheme="minorHAnsi" w:cs="Arial"/>
                <w:b/>
                <w:sz w:val="20"/>
                <w:szCs w:val="20"/>
              </w:rPr>
            </w:pPr>
            <w:r w:rsidRPr="00891D23">
              <w:rPr>
                <w:rFonts w:asciiTheme="minorHAnsi" w:hAnsiTheme="minorHAnsi" w:cs="Arial"/>
                <w:b/>
                <w:sz w:val="20"/>
                <w:szCs w:val="20"/>
              </w:rPr>
              <w:t>Ejecutar los procesos de acceso a la información y participación ciudadana.</w:t>
            </w:r>
          </w:p>
        </w:tc>
        <w:tc>
          <w:tcPr>
            <w:tcW w:w="1701" w:type="dxa"/>
            <w:tcBorders>
              <w:top w:val="single" w:sz="4" w:space="0" w:color="auto"/>
              <w:left w:val="single" w:sz="4" w:space="0" w:color="auto"/>
              <w:bottom w:val="single" w:sz="4" w:space="0" w:color="auto"/>
              <w:right w:val="double" w:sz="4" w:space="0" w:color="auto"/>
            </w:tcBorders>
            <w:vAlign w:val="center"/>
          </w:tcPr>
          <w:p w:rsidR="000F6FCD" w:rsidRPr="00891D23" w:rsidRDefault="00891D23" w:rsidP="00AE0AFC">
            <w:pPr>
              <w:spacing w:line="216" w:lineRule="auto"/>
              <w:jc w:val="center"/>
              <w:rPr>
                <w:rFonts w:asciiTheme="minorHAnsi" w:hAnsiTheme="minorHAnsi" w:cs="Arial"/>
                <w:b/>
                <w:bCs/>
              </w:rPr>
            </w:pPr>
            <w:r w:rsidRPr="00891D23">
              <w:rPr>
                <w:rFonts w:asciiTheme="minorHAnsi" w:hAnsiTheme="minorHAnsi" w:cs="Arial"/>
                <w:b/>
                <w:bCs/>
                <w:sz w:val="22"/>
                <w:szCs w:val="22"/>
              </w:rPr>
              <w:t>98.2</w:t>
            </w:r>
          </w:p>
        </w:tc>
        <w:tc>
          <w:tcPr>
            <w:tcW w:w="1842" w:type="dxa"/>
            <w:tcBorders>
              <w:top w:val="single" w:sz="4" w:space="0" w:color="auto"/>
              <w:left w:val="single" w:sz="4" w:space="0" w:color="auto"/>
              <w:bottom w:val="single" w:sz="4" w:space="0" w:color="auto"/>
              <w:right w:val="double" w:sz="4" w:space="0" w:color="auto"/>
            </w:tcBorders>
            <w:vAlign w:val="center"/>
          </w:tcPr>
          <w:p w:rsidR="000F6FCD" w:rsidRPr="00891D23" w:rsidRDefault="00891D23" w:rsidP="00AE0AFC">
            <w:pPr>
              <w:spacing w:line="216" w:lineRule="auto"/>
              <w:jc w:val="center"/>
              <w:rPr>
                <w:rFonts w:asciiTheme="minorHAnsi" w:hAnsiTheme="minorHAnsi" w:cs="Arial"/>
                <w:b/>
                <w:bCs/>
              </w:rPr>
            </w:pPr>
            <w:r>
              <w:rPr>
                <w:rFonts w:asciiTheme="minorHAnsi" w:hAnsiTheme="minorHAnsi" w:cs="Arial"/>
                <w:b/>
                <w:bCs/>
                <w:sz w:val="22"/>
                <w:szCs w:val="22"/>
              </w:rPr>
              <w:t>99.1</w:t>
            </w:r>
          </w:p>
        </w:tc>
      </w:tr>
      <w:tr w:rsidR="000F6FCD" w:rsidRPr="00891D23" w:rsidTr="00AE0AFC">
        <w:trPr>
          <w:cantSplit/>
          <w:trHeight w:val="327"/>
        </w:trPr>
        <w:tc>
          <w:tcPr>
            <w:tcW w:w="6096" w:type="dxa"/>
            <w:gridSpan w:val="2"/>
            <w:tcBorders>
              <w:top w:val="double" w:sz="4" w:space="0" w:color="auto"/>
              <w:left w:val="double" w:sz="4" w:space="0" w:color="auto"/>
              <w:bottom w:val="double" w:sz="4" w:space="0" w:color="auto"/>
              <w:right w:val="single" w:sz="6" w:space="0" w:color="auto"/>
            </w:tcBorders>
            <w:vAlign w:val="center"/>
          </w:tcPr>
          <w:p w:rsidR="000F6FCD" w:rsidRPr="00891D23" w:rsidRDefault="000F6FCD" w:rsidP="00AE0AFC">
            <w:pPr>
              <w:pStyle w:val="Ttulo4"/>
              <w:spacing w:line="216" w:lineRule="auto"/>
              <w:rPr>
                <w:rFonts w:asciiTheme="minorHAnsi" w:hAnsiTheme="minorHAnsi"/>
                <w:sz w:val="22"/>
              </w:rPr>
            </w:pPr>
            <w:r w:rsidRPr="00891D23">
              <w:rPr>
                <w:rFonts w:asciiTheme="minorHAnsi" w:hAnsiTheme="minorHAnsi"/>
                <w:sz w:val="22"/>
                <w:szCs w:val="22"/>
              </w:rPr>
              <w:t>TOTAL OFICINA</w:t>
            </w:r>
          </w:p>
        </w:tc>
        <w:tc>
          <w:tcPr>
            <w:tcW w:w="1701" w:type="dxa"/>
            <w:tcBorders>
              <w:top w:val="double" w:sz="4" w:space="0" w:color="auto"/>
              <w:left w:val="single" w:sz="6" w:space="0" w:color="auto"/>
              <w:bottom w:val="double" w:sz="4" w:space="0" w:color="auto"/>
              <w:right w:val="double" w:sz="4" w:space="0" w:color="auto"/>
            </w:tcBorders>
            <w:vAlign w:val="center"/>
          </w:tcPr>
          <w:p w:rsidR="000F6FCD" w:rsidRPr="00891D23" w:rsidRDefault="00891D23" w:rsidP="00AE0AFC">
            <w:pPr>
              <w:spacing w:line="216" w:lineRule="auto"/>
              <w:jc w:val="center"/>
              <w:rPr>
                <w:rFonts w:asciiTheme="minorHAnsi" w:hAnsiTheme="minorHAnsi" w:cs="Arial"/>
                <w:b/>
                <w:bCs/>
              </w:rPr>
            </w:pPr>
            <w:r>
              <w:rPr>
                <w:rFonts w:asciiTheme="minorHAnsi" w:hAnsiTheme="minorHAnsi" w:cs="Arial"/>
                <w:b/>
                <w:bCs/>
                <w:sz w:val="22"/>
                <w:szCs w:val="22"/>
              </w:rPr>
              <w:t>98.2</w:t>
            </w:r>
          </w:p>
        </w:tc>
        <w:tc>
          <w:tcPr>
            <w:tcW w:w="1842" w:type="dxa"/>
            <w:tcBorders>
              <w:top w:val="double" w:sz="4" w:space="0" w:color="auto"/>
              <w:left w:val="single" w:sz="6" w:space="0" w:color="auto"/>
              <w:bottom w:val="double" w:sz="4" w:space="0" w:color="auto"/>
              <w:right w:val="double" w:sz="4" w:space="0" w:color="auto"/>
            </w:tcBorders>
            <w:vAlign w:val="center"/>
          </w:tcPr>
          <w:p w:rsidR="000F6FCD" w:rsidRPr="009E7BC2" w:rsidRDefault="00891D23" w:rsidP="009E7BC2">
            <w:pPr>
              <w:spacing w:line="216" w:lineRule="auto"/>
              <w:jc w:val="center"/>
              <w:rPr>
                <w:rFonts w:asciiTheme="minorHAnsi" w:hAnsiTheme="minorHAnsi" w:cs="Arial"/>
                <w:b/>
                <w:bCs/>
                <w:color w:val="000000" w:themeColor="text1"/>
              </w:rPr>
            </w:pPr>
            <w:r w:rsidRPr="009E7BC2">
              <w:rPr>
                <w:rFonts w:asciiTheme="minorHAnsi" w:hAnsiTheme="minorHAnsi" w:cs="Arial"/>
                <w:b/>
                <w:bCs/>
                <w:color w:val="000000" w:themeColor="text1"/>
                <w:sz w:val="22"/>
                <w:szCs w:val="22"/>
              </w:rPr>
              <w:t>99.1</w:t>
            </w:r>
          </w:p>
        </w:tc>
      </w:tr>
    </w:tbl>
    <w:p w:rsidR="000F6FCD" w:rsidRPr="00891D23" w:rsidRDefault="000F6FCD" w:rsidP="000F6FCD">
      <w:pPr>
        <w:spacing w:line="216" w:lineRule="auto"/>
        <w:ind w:left="1410" w:hanging="1410"/>
        <w:jc w:val="both"/>
        <w:rPr>
          <w:rFonts w:asciiTheme="minorHAnsi" w:hAnsiTheme="minorHAnsi" w:cs="Arial"/>
          <w:sz w:val="22"/>
          <w:szCs w:val="22"/>
        </w:rPr>
      </w:pPr>
      <w:r w:rsidRPr="00891D23">
        <w:rPr>
          <w:rFonts w:asciiTheme="minorHAnsi" w:hAnsiTheme="minorHAnsi" w:cs="Arial"/>
          <w:b/>
          <w:sz w:val="22"/>
          <w:szCs w:val="22"/>
        </w:rPr>
        <w:t xml:space="preserve">FUENTE: </w:t>
      </w:r>
      <w:r w:rsidR="00891D23">
        <w:rPr>
          <w:rFonts w:asciiTheme="minorHAnsi" w:hAnsiTheme="minorHAnsi" w:cs="Arial"/>
          <w:b/>
          <w:sz w:val="22"/>
          <w:szCs w:val="22"/>
        </w:rPr>
        <w:t xml:space="preserve"> </w:t>
      </w:r>
      <w:r w:rsidRPr="00891D23">
        <w:rPr>
          <w:rFonts w:asciiTheme="minorHAnsi" w:hAnsiTheme="minorHAnsi" w:cs="Arial"/>
          <w:b/>
          <w:sz w:val="22"/>
          <w:szCs w:val="22"/>
        </w:rPr>
        <w:t xml:space="preserve"> O</w:t>
      </w:r>
      <w:r w:rsidR="00891D23">
        <w:rPr>
          <w:rFonts w:asciiTheme="minorHAnsi" w:hAnsiTheme="minorHAnsi" w:cs="Arial"/>
          <w:b/>
          <w:sz w:val="22"/>
          <w:szCs w:val="22"/>
        </w:rPr>
        <w:t>IR</w:t>
      </w:r>
      <w:r w:rsidRPr="00891D23">
        <w:rPr>
          <w:rFonts w:asciiTheme="minorHAnsi" w:hAnsiTheme="minorHAnsi" w:cs="Arial"/>
          <w:b/>
          <w:sz w:val="22"/>
          <w:szCs w:val="22"/>
        </w:rPr>
        <w:t>.</w:t>
      </w:r>
      <w:r w:rsidRPr="00891D23">
        <w:rPr>
          <w:rFonts w:asciiTheme="minorHAnsi" w:hAnsiTheme="minorHAnsi" w:cs="Arial"/>
          <w:sz w:val="22"/>
          <w:szCs w:val="22"/>
        </w:rPr>
        <w:t xml:space="preserve"> Informe de avance físico del 2do.Trimestre y periodo enero-junio de 2019. </w:t>
      </w:r>
    </w:p>
    <w:p w:rsidR="000F6FCD" w:rsidRDefault="000F6FCD" w:rsidP="000F6FCD">
      <w:pPr>
        <w:spacing w:line="216" w:lineRule="auto"/>
        <w:ind w:left="1410" w:hanging="1410"/>
        <w:jc w:val="both"/>
        <w:rPr>
          <w:rFonts w:ascii="Arial" w:hAnsi="Arial" w:cs="Arial"/>
          <w:sz w:val="22"/>
          <w:szCs w:val="22"/>
        </w:rPr>
      </w:pPr>
    </w:p>
    <w:sectPr w:rsidR="000F6FCD" w:rsidSect="00B856FB">
      <w:footerReference w:type="default" r:id="rId9"/>
      <w:pgSz w:w="12242" w:h="15842" w:code="1"/>
      <w:pgMar w:top="1418" w:right="1185" w:bottom="1134" w:left="1418"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A026E" w:rsidRDefault="006A026E" w:rsidP="00D4142A">
      <w:r>
        <w:separator/>
      </w:r>
    </w:p>
  </w:endnote>
  <w:endnote w:type="continuationSeparator" w:id="1">
    <w:p w:rsidR="006A026E" w:rsidRDefault="006A026E" w:rsidP="00D4142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1C36" w:rsidRDefault="00DF7594">
    <w:pPr>
      <w:pStyle w:val="Piedepgina"/>
      <w:jc w:val="right"/>
      <w:rPr>
        <w:b/>
        <w:bCs/>
        <w:i/>
        <w:iCs/>
        <w:sz w:val="18"/>
      </w:rPr>
    </w:pPr>
    <w:r>
      <w:rPr>
        <w:b/>
        <w:bCs/>
        <w:i/>
        <w:iCs/>
        <w:sz w:val="18"/>
      </w:rPr>
      <w:t xml:space="preserve">Página </w:t>
    </w:r>
    <w:r w:rsidR="00245ED8">
      <w:rPr>
        <w:rStyle w:val="Nmerodepgina"/>
        <w:b/>
        <w:bCs/>
        <w:i/>
        <w:iCs/>
        <w:sz w:val="18"/>
      </w:rPr>
      <w:fldChar w:fldCharType="begin"/>
    </w:r>
    <w:r>
      <w:rPr>
        <w:rStyle w:val="Nmerodepgina"/>
        <w:b/>
        <w:bCs/>
        <w:i/>
        <w:iCs/>
        <w:sz w:val="18"/>
      </w:rPr>
      <w:instrText xml:space="preserve"> PAGE </w:instrText>
    </w:r>
    <w:r w:rsidR="00245ED8">
      <w:rPr>
        <w:rStyle w:val="Nmerodepgina"/>
        <w:b/>
        <w:bCs/>
        <w:i/>
        <w:iCs/>
        <w:sz w:val="18"/>
      </w:rPr>
      <w:fldChar w:fldCharType="separate"/>
    </w:r>
    <w:r w:rsidR="009E7BC2">
      <w:rPr>
        <w:rStyle w:val="Nmerodepgina"/>
        <w:b/>
        <w:bCs/>
        <w:i/>
        <w:iCs/>
        <w:noProof/>
        <w:sz w:val="18"/>
      </w:rPr>
      <w:t>3</w:t>
    </w:r>
    <w:r w:rsidR="00245ED8">
      <w:rPr>
        <w:rStyle w:val="Nmerodepgina"/>
        <w:b/>
        <w:bCs/>
        <w:i/>
        <w:iCs/>
        <w:sz w:val="1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A026E" w:rsidRDefault="006A026E" w:rsidP="00D4142A">
      <w:r>
        <w:separator/>
      </w:r>
    </w:p>
  </w:footnote>
  <w:footnote w:type="continuationSeparator" w:id="1">
    <w:p w:rsidR="006A026E" w:rsidRDefault="006A026E" w:rsidP="00D4142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971A93"/>
    <w:multiLevelType w:val="hybridMultilevel"/>
    <w:tmpl w:val="34F87B10"/>
    <w:lvl w:ilvl="0" w:tplc="FFFFFFFF">
      <w:start w:val="1"/>
      <w:numFmt w:val="upperRoman"/>
      <w:pStyle w:val="Ttulo3"/>
      <w:lvlText w:val="%1."/>
      <w:lvlJc w:val="left"/>
      <w:pPr>
        <w:tabs>
          <w:tab w:val="num" w:pos="1080"/>
        </w:tabs>
        <w:ind w:left="1080" w:hanging="72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
    <w:nsid w:val="327A2F58"/>
    <w:multiLevelType w:val="hybridMultilevel"/>
    <w:tmpl w:val="019E625C"/>
    <w:lvl w:ilvl="0" w:tplc="440A0001">
      <w:start w:val="1"/>
      <w:numFmt w:val="bullet"/>
      <w:lvlText w:val=""/>
      <w:lvlJc w:val="left"/>
      <w:pPr>
        <w:ind w:left="1080" w:hanging="360"/>
      </w:pPr>
      <w:rPr>
        <w:rFonts w:ascii="Symbol" w:hAnsi="Symbol" w:hint="default"/>
      </w:rPr>
    </w:lvl>
    <w:lvl w:ilvl="1" w:tplc="440A0003" w:tentative="1">
      <w:start w:val="1"/>
      <w:numFmt w:val="bullet"/>
      <w:lvlText w:val="o"/>
      <w:lvlJc w:val="left"/>
      <w:pPr>
        <w:ind w:left="1800" w:hanging="360"/>
      </w:pPr>
      <w:rPr>
        <w:rFonts w:ascii="Courier New" w:hAnsi="Courier New" w:cs="Courier New" w:hint="default"/>
      </w:rPr>
    </w:lvl>
    <w:lvl w:ilvl="2" w:tplc="440A0005" w:tentative="1">
      <w:start w:val="1"/>
      <w:numFmt w:val="bullet"/>
      <w:lvlText w:val=""/>
      <w:lvlJc w:val="left"/>
      <w:pPr>
        <w:ind w:left="2520" w:hanging="360"/>
      </w:pPr>
      <w:rPr>
        <w:rFonts w:ascii="Wingdings" w:hAnsi="Wingdings" w:hint="default"/>
      </w:rPr>
    </w:lvl>
    <w:lvl w:ilvl="3" w:tplc="440A0001" w:tentative="1">
      <w:start w:val="1"/>
      <w:numFmt w:val="bullet"/>
      <w:lvlText w:val=""/>
      <w:lvlJc w:val="left"/>
      <w:pPr>
        <w:ind w:left="3240" w:hanging="360"/>
      </w:pPr>
      <w:rPr>
        <w:rFonts w:ascii="Symbol" w:hAnsi="Symbol" w:hint="default"/>
      </w:rPr>
    </w:lvl>
    <w:lvl w:ilvl="4" w:tplc="440A0003" w:tentative="1">
      <w:start w:val="1"/>
      <w:numFmt w:val="bullet"/>
      <w:lvlText w:val="o"/>
      <w:lvlJc w:val="left"/>
      <w:pPr>
        <w:ind w:left="3960" w:hanging="360"/>
      </w:pPr>
      <w:rPr>
        <w:rFonts w:ascii="Courier New" w:hAnsi="Courier New" w:cs="Courier New" w:hint="default"/>
      </w:rPr>
    </w:lvl>
    <w:lvl w:ilvl="5" w:tplc="440A0005" w:tentative="1">
      <w:start w:val="1"/>
      <w:numFmt w:val="bullet"/>
      <w:lvlText w:val=""/>
      <w:lvlJc w:val="left"/>
      <w:pPr>
        <w:ind w:left="4680" w:hanging="360"/>
      </w:pPr>
      <w:rPr>
        <w:rFonts w:ascii="Wingdings" w:hAnsi="Wingdings" w:hint="default"/>
      </w:rPr>
    </w:lvl>
    <w:lvl w:ilvl="6" w:tplc="440A0001" w:tentative="1">
      <w:start w:val="1"/>
      <w:numFmt w:val="bullet"/>
      <w:lvlText w:val=""/>
      <w:lvlJc w:val="left"/>
      <w:pPr>
        <w:ind w:left="5400" w:hanging="360"/>
      </w:pPr>
      <w:rPr>
        <w:rFonts w:ascii="Symbol" w:hAnsi="Symbol" w:hint="default"/>
      </w:rPr>
    </w:lvl>
    <w:lvl w:ilvl="7" w:tplc="440A0003" w:tentative="1">
      <w:start w:val="1"/>
      <w:numFmt w:val="bullet"/>
      <w:lvlText w:val="o"/>
      <w:lvlJc w:val="left"/>
      <w:pPr>
        <w:ind w:left="6120" w:hanging="360"/>
      </w:pPr>
      <w:rPr>
        <w:rFonts w:ascii="Courier New" w:hAnsi="Courier New" w:cs="Courier New" w:hint="default"/>
      </w:rPr>
    </w:lvl>
    <w:lvl w:ilvl="8" w:tplc="440A0005" w:tentative="1">
      <w:start w:val="1"/>
      <w:numFmt w:val="bullet"/>
      <w:lvlText w:val=""/>
      <w:lvlJc w:val="left"/>
      <w:pPr>
        <w:ind w:left="684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08"/>
  <w:hyphenationZone w:val="425"/>
  <w:characterSpacingControl w:val="doNotCompress"/>
  <w:footnotePr>
    <w:footnote w:id="0"/>
    <w:footnote w:id="1"/>
  </w:footnotePr>
  <w:endnotePr>
    <w:endnote w:id="0"/>
    <w:endnote w:id="1"/>
  </w:endnotePr>
  <w:compat/>
  <w:rsids>
    <w:rsidRoot w:val="000D467C"/>
    <w:rsid w:val="00027579"/>
    <w:rsid w:val="00034BDF"/>
    <w:rsid w:val="000D467C"/>
    <w:rsid w:val="000F6FCD"/>
    <w:rsid w:val="001D37A3"/>
    <w:rsid w:val="00245ED8"/>
    <w:rsid w:val="002B0257"/>
    <w:rsid w:val="002C296E"/>
    <w:rsid w:val="00316C77"/>
    <w:rsid w:val="00367ED4"/>
    <w:rsid w:val="003A7CE6"/>
    <w:rsid w:val="003E6F45"/>
    <w:rsid w:val="004E3B8F"/>
    <w:rsid w:val="005013FC"/>
    <w:rsid w:val="00564C91"/>
    <w:rsid w:val="005D5066"/>
    <w:rsid w:val="006A026E"/>
    <w:rsid w:val="006C63B0"/>
    <w:rsid w:val="00762D2A"/>
    <w:rsid w:val="007B0845"/>
    <w:rsid w:val="007E365F"/>
    <w:rsid w:val="00891D23"/>
    <w:rsid w:val="009E7BC2"/>
    <w:rsid w:val="00A31327"/>
    <w:rsid w:val="00A562A3"/>
    <w:rsid w:val="00B13986"/>
    <w:rsid w:val="00B82D47"/>
    <w:rsid w:val="00BD1C22"/>
    <w:rsid w:val="00C406BC"/>
    <w:rsid w:val="00CA5F55"/>
    <w:rsid w:val="00D04CAD"/>
    <w:rsid w:val="00D4142A"/>
    <w:rsid w:val="00D64B6B"/>
    <w:rsid w:val="00DD7B0B"/>
    <w:rsid w:val="00DF7594"/>
    <w:rsid w:val="00E37333"/>
    <w:rsid w:val="00E82152"/>
    <w:rsid w:val="00F906AD"/>
    <w:rsid w:val="00F925BE"/>
    <w:rsid w:val="00FB11FA"/>
  </w:rsids>
  <m:mathPr>
    <m:mathFont m:val="Cambria Math"/>
    <m:brkBin m:val="before"/>
    <m:brkBinSub m:val="--"/>
    <m:smallFrac m:val="off"/>
    <m:dispDef/>
    <m:lMargin m:val="0"/>
    <m:rMargin m:val="0"/>
    <m:defJc m:val="centerGroup"/>
    <m:wrapIndent m:val="1440"/>
    <m:intLim m:val="subSup"/>
    <m:naryLim m:val="undOvr"/>
  </m:mathPr>
  <w:themeFontLang w:val="es-SV"/>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S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Body Text 3"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D467C"/>
    <w:pPr>
      <w:spacing w:after="0" w:line="240" w:lineRule="auto"/>
    </w:pPr>
    <w:rPr>
      <w:rFonts w:ascii="Times New Roman" w:eastAsia="Times New Roman" w:hAnsi="Times New Roman" w:cs="Times New Roman"/>
      <w:sz w:val="24"/>
      <w:szCs w:val="24"/>
      <w:lang w:val="es-ES" w:eastAsia="es-ES"/>
    </w:rPr>
  </w:style>
  <w:style w:type="paragraph" w:styleId="Ttulo1">
    <w:name w:val="heading 1"/>
    <w:basedOn w:val="Normal"/>
    <w:next w:val="Normal"/>
    <w:link w:val="Ttulo1Car"/>
    <w:qFormat/>
    <w:rsid w:val="000D467C"/>
    <w:pPr>
      <w:keepNext/>
      <w:jc w:val="center"/>
      <w:outlineLvl w:val="0"/>
    </w:pPr>
    <w:rPr>
      <w:rFonts w:ascii="Arial" w:hAnsi="Arial"/>
      <w:b/>
      <w:bCs/>
    </w:rPr>
  </w:style>
  <w:style w:type="paragraph" w:styleId="Ttulo3">
    <w:name w:val="heading 3"/>
    <w:basedOn w:val="Normal"/>
    <w:next w:val="Normal"/>
    <w:link w:val="Ttulo3Car"/>
    <w:qFormat/>
    <w:rsid w:val="000D467C"/>
    <w:pPr>
      <w:keepNext/>
      <w:numPr>
        <w:numId w:val="1"/>
      </w:numPr>
      <w:jc w:val="both"/>
      <w:outlineLvl w:val="2"/>
    </w:pPr>
    <w:rPr>
      <w:rFonts w:ascii="Arial" w:hAnsi="Arial"/>
      <w:b/>
      <w:bCs/>
    </w:rPr>
  </w:style>
  <w:style w:type="paragraph" w:styleId="Ttulo4">
    <w:name w:val="heading 4"/>
    <w:basedOn w:val="Normal"/>
    <w:next w:val="Normal"/>
    <w:link w:val="Ttulo4Car"/>
    <w:qFormat/>
    <w:rsid w:val="000D467C"/>
    <w:pPr>
      <w:keepNext/>
      <w:jc w:val="center"/>
      <w:outlineLvl w:val="3"/>
    </w:pPr>
    <w:rPr>
      <w:rFonts w:ascii="Arial" w:hAnsi="Arial" w:cs="Arial"/>
      <w:b/>
      <w:bCs/>
      <w:sz w:val="20"/>
    </w:rPr>
  </w:style>
  <w:style w:type="paragraph" w:styleId="Ttulo5">
    <w:name w:val="heading 5"/>
    <w:basedOn w:val="Normal"/>
    <w:next w:val="Normal"/>
    <w:link w:val="Ttulo5Car"/>
    <w:qFormat/>
    <w:rsid w:val="000D467C"/>
    <w:pPr>
      <w:keepNext/>
      <w:jc w:val="center"/>
      <w:outlineLvl w:val="4"/>
    </w:pPr>
    <w:rPr>
      <w:rFonts w:ascii="Arial" w:hAnsi="Arial" w:cs="Arial"/>
      <w:b/>
      <w:sz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0D467C"/>
    <w:rPr>
      <w:rFonts w:ascii="Arial" w:eastAsia="Times New Roman" w:hAnsi="Arial" w:cs="Times New Roman"/>
      <w:b/>
      <w:bCs/>
      <w:sz w:val="24"/>
      <w:szCs w:val="24"/>
      <w:lang w:val="es-ES" w:eastAsia="es-ES"/>
    </w:rPr>
  </w:style>
  <w:style w:type="character" w:customStyle="1" w:styleId="Ttulo3Car">
    <w:name w:val="Título 3 Car"/>
    <w:basedOn w:val="Fuentedeprrafopredeter"/>
    <w:link w:val="Ttulo3"/>
    <w:rsid w:val="000D467C"/>
    <w:rPr>
      <w:rFonts w:ascii="Arial" w:eastAsia="Times New Roman" w:hAnsi="Arial" w:cs="Times New Roman"/>
      <w:b/>
      <w:bCs/>
      <w:sz w:val="24"/>
      <w:szCs w:val="24"/>
      <w:lang w:val="es-ES" w:eastAsia="es-ES"/>
    </w:rPr>
  </w:style>
  <w:style w:type="character" w:customStyle="1" w:styleId="Ttulo4Car">
    <w:name w:val="Título 4 Car"/>
    <w:basedOn w:val="Fuentedeprrafopredeter"/>
    <w:link w:val="Ttulo4"/>
    <w:rsid w:val="000D467C"/>
    <w:rPr>
      <w:rFonts w:ascii="Arial" w:eastAsia="Times New Roman" w:hAnsi="Arial" w:cs="Arial"/>
      <w:b/>
      <w:bCs/>
      <w:sz w:val="20"/>
      <w:szCs w:val="24"/>
      <w:lang w:val="es-ES" w:eastAsia="es-ES"/>
    </w:rPr>
  </w:style>
  <w:style w:type="character" w:customStyle="1" w:styleId="Ttulo5Car">
    <w:name w:val="Título 5 Car"/>
    <w:basedOn w:val="Fuentedeprrafopredeter"/>
    <w:link w:val="Ttulo5"/>
    <w:rsid w:val="000D467C"/>
    <w:rPr>
      <w:rFonts w:ascii="Arial" w:eastAsia="Times New Roman" w:hAnsi="Arial" w:cs="Arial"/>
      <w:b/>
      <w:szCs w:val="24"/>
      <w:lang w:val="es-ES" w:eastAsia="es-ES"/>
    </w:rPr>
  </w:style>
  <w:style w:type="paragraph" w:styleId="Ttulo">
    <w:name w:val="Title"/>
    <w:basedOn w:val="Normal"/>
    <w:link w:val="TtuloCar"/>
    <w:qFormat/>
    <w:rsid w:val="000D467C"/>
    <w:pPr>
      <w:jc w:val="center"/>
    </w:pPr>
    <w:rPr>
      <w:rFonts w:ascii="Arial" w:hAnsi="Arial"/>
      <w:b/>
      <w:bCs/>
    </w:rPr>
  </w:style>
  <w:style w:type="character" w:customStyle="1" w:styleId="TtuloCar">
    <w:name w:val="Título Car"/>
    <w:basedOn w:val="Fuentedeprrafopredeter"/>
    <w:link w:val="Ttulo"/>
    <w:rsid w:val="000D467C"/>
    <w:rPr>
      <w:rFonts w:ascii="Arial" w:eastAsia="Times New Roman" w:hAnsi="Arial" w:cs="Times New Roman"/>
      <w:b/>
      <w:bCs/>
      <w:sz w:val="24"/>
      <w:szCs w:val="24"/>
      <w:lang w:val="es-ES" w:eastAsia="es-ES"/>
    </w:rPr>
  </w:style>
  <w:style w:type="paragraph" w:styleId="Textoindependiente3">
    <w:name w:val="Body Text 3"/>
    <w:basedOn w:val="Normal"/>
    <w:link w:val="Textoindependiente3Car"/>
    <w:rsid w:val="000D467C"/>
    <w:pPr>
      <w:jc w:val="both"/>
    </w:pPr>
    <w:rPr>
      <w:rFonts w:ascii="Arial" w:hAnsi="Arial"/>
      <w:sz w:val="22"/>
      <w:szCs w:val="22"/>
    </w:rPr>
  </w:style>
  <w:style w:type="character" w:customStyle="1" w:styleId="Textoindependiente3Car">
    <w:name w:val="Texto independiente 3 Car"/>
    <w:basedOn w:val="Fuentedeprrafopredeter"/>
    <w:link w:val="Textoindependiente3"/>
    <w:rsid w:val="000D467C"/>
    <w:rPr>
      <w:rFonts w:ascii="Arial" w:eastAsia="Times New Roman" w:hAnsi="Arial" w:cs="Times New Roman"/>
      <w:lang w:val="es-ES" w:eastAsia="es-ES"/>
    </w:rPr>
  </w:style>
  <w:style w:type="paragraph" w:styleId="Subttulo">
    <w:name w:val="Subtitle"/>
    <w:basedOn w:val="Normal"/>
    <w:link w:val="SubttuloCar"/>
    <w:qFormat/>
    <w:rsid w:val="000D467C"/>
    <w:pPr>
      <w:jc w:val="center"/>
    </w:pPr>
    <w:rPr>
      <w:rFonts w:ascii="Arial" w:hAnsi="Arial"/>
      <w:b/>
      <w:szCs w:val="20"/>
      <w:lang w:val="es-MX"/>
    </w:rPr>
  </w:style>
  <w:style w:type="character" w:customStyle="1" w:styleId="SubttuloCar">
    <w:name w:val="Subtítulo Car"/>
    <w:basedOn w:val="Fuentedeprrafopredeter"/>
    <w:link w:val="Subttulo"/>
    <w:rsid w:val="000D467C"/>
    <w:rPr>
      <w:rFonts w:ascii="Arial" w:eastAsia="Times New Roman" w:hAnsi="Arial" w:cs="Times New Roman"/>
      <w:b/>
      <w:sz w:val="24"/>
      <w:szCs w:val="20"/>
      <w:lang w:val="es-MX" w:eastAsia="es-ES"/>
    </w:rPr>
  </w:style>
  <w:style w:type="paragraph" w:styleId="Piedepgina">
    <w:name w:val="footer"/>
    <w:basedOn w:val="Normal"/>
    <w:link w:val="PiedepginaCar"/>
    <w:rsid w:val="000D467C"/>
    <w:pPr>
      <w:tabs>
        <w:tab w:val="center" w:pos="4252"/>
        <w:tab w:val="right" w:pos="8504"/>
      </w:tabs>
    </w:pPr>
  </w:style>
  <w:style w:type="character" w:customStyle="1" w:styleId="PiedepginaCar">
    <w:name w:val="Pie de página Car"/>
    <w:basedOn w:val="Fuentedeprrafopredeter"/>
    <w:link w:val="Piedepgina"/>
    <w:rsid w:val="000D467C"/>
    <w:rPr>
      <w:rFonts w:ascii="Times New Roman" w:eastAsia="Times New Roman" w:hAnsi="Times New Roman" w:cs="Times New Roman"/>
      <w:sz w:val="24"/>
      <w:szCs w:val="24"/>
      <w:lang w:val="es-ES" w:eastAsia="es-ES"/>
    </w:rPr>
  </w:style>
  <w:style w:type="character" w:styleId="Nmerodepgina">
    <w:name w:val="page number"/>
    <w:basedOn w:val="Fuentedeprrafopredeter"/>
    <w:rsid w:val="000D467C"/>
  </w:style>
  <w:style w:type="paragraph" w:styleId="Sangra3detindependiente">
    <w:name w:val="Body Text Indent 3"/>
    <w:basedOn w:val="Normal"/>
    <w:link w:val="Sangra3detindependienteCar"/>
    <w:rsid w:val="000D467C"/>
    <w:pPr>
      <w:ind w:left="705" w:hanging="705"/>
      <w:jc w:val="both"/>
    </w:pPr>
    <w:rPr>
      <w:rFonts w:ascii="Arial" w:hAnsi="Arial" w:cs="Arial"/>
      <w:b/>
      <w:bCs/>
      <w:sz w:val="22"/>
      <w:szCs w:val="22"/>
    </w:rPr>
  </w:style>
  <w:style w:type="character" w:customStyle="1" w:styleId="Sangra3detindependienteCar">
    <w:name w:val="Sangría 3 de t. independiente Car"/>
    <w:basedOn w:val="Fuentedeprrafopredeter"/>
    <w:link w:val="Sangra3detindependiente"/>
    <w:rsid w:val="000D467C"/>
    <w:rPr>
      <w:rFonts w:ascii="Arial" w:eastAsia="Times New Roman" w:hAnsi="Arial" w:cs="Arial"/>
      <w:b/>
      <w:bCs/>
      <w:lang w:val="es-ES" w:eastAsia="es-ES"/>
    </w:rPr>
  </w:style>
  <w:style w:type="paragraph" w:styleId="Textodeglobo">
    <w:name w:val="Balloon Text"/>
    <w:basedOn w:val="Normal"/>
    <w:link w:val="TextodegloboCar"/>
    <w:uiPriority w:val="99"/>
    <w:semiHidden/>
    <w:unhideWhenUsed/>
    <w:rsid w:val="000D467C"/>
    <w:rPr>
      <w:rFonts w:ascii="Tahoma" w:hAnsi="Tahoma" w:cs="Tahoma"/>
      <w:sz w:val="16"/>
      <w:szCs w:val="16"/>
    </w:rPr>
  </w:style>
  <w:style w:type="character" w:customStyle="1" w:styleId="TextodegloboCar">
    <w:name w:val="Texto de globo Car"/>
    <w:basedOn w:val="Fuentedeprrafopredeter"/>
    <w:link w:val="Textodeglobo"/>
    <w:uiPriority w:val="99"/>
    <w:semiHidden/>
    <w:rsid w:val="000D467C"/>
    <w:rPr>
      <w:rFonts w:ascii="Tahoma" w:eastAsia="Times New Roman" w:hAnsi="Tahoma" w:cs="Tahoma"/>
      <w:sz w:val="16"/>
      <w:szCs w:val="16"/>
      <w:lang w:val="es-ES" w:eastAsia="es-ES"/>
    </w:rPr>
  </w:style>
</w:styles>
</file>

<file path=word/webSettings.xml><?xml version="1.0" encoding="utf-8"?>
<w:webSettings xmlns:r="http://schemas.openxmlformats.org/officeDocument/2006/relationships" xmlns:w="http://schemas.openxmlformats.org/wordprocessingml/2006/main">
  <w:divs>
    <w:div w:id="78790842">
      <w:bodyDiv w:val="1"/>
      <w:marLeft w:val="0"/>
      <w:marRight w:val="0"/>
      <w:marTop w:val="0"/>
      <w:marBottom w:val="0"/>
      <w:divBdr>
        <w:top w:val="none" w:sz="0" w:space="0" w:color="auto"/>
        <w:left w:val="none" w:sz="0" w:space="0" w:color="auto"/>
        <w:bottom w:val="none" w:sz="0" w:space="0" w:color="auto"/>
        <w:right w:val="none" w:sz="0" w:space="0" w:color="auto"/>
      </w:divBdr>
    </w:div>
    <w:div w:id="1690179467">
      <w:bodyDiv w:val="1"/>
      <w:marLeft w:val="0"/>
      <w:marRight w:val="0"/>
      <w:marTop w:val="0"/>
      <w:marBottom w:val="0"/>
      <w:divBdr>
        <w:top w:val="none" w:sz="0" w:space="0" w:color="auto"/>
        <w:left w:val="none" w:sz="0" w:space="0" w:color="auto"/>
        <w:bottom w:val="none" w:sz="0" w:space="0" w:color="auto"/>
        <w:right w:val="none" w:sz="0" w:space="0" w:color="auto"/>
      </w:divBdr>
    </w:div>
    <w:div w:id="19525927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chart" Target="charts/chart2.xml"/><Relationship Id="rId3" Type="http://schemas.openxmlformats.org/officeDocument/2006/relationships/settings" Target="settings.xml"/><Relationship Id="rId7" Type="http://schemas.openxmlformats.org/officeDocument/2006/relationships/chart" Target="charts/chart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charts/_rels/chart1.xml.rels><?xml version="1.0" encoding="UTF-8" standalone="yes"?>
<Relationships xmlns="http://schemas.openxmlformats.org/package/2006/relationships"><Relationship Id="rId1" Type="http://schemas.openxmlformats.org/officeDocument/2006/relationships/package" Target="../embeddings/Hoja_de_c_lculo_de_Microsoft_Office_Excel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Hoja_de_c_lculo_de_Microsoft_Office_Excel2.xlsx"/></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s-SV"/>
  <c:chart>
    <c:autoTitleDeleted val="1"/>
    <c:plotArea>
      <c:layout>
        <c:manualLayout>
          <c:layoutTarget val="inner"/>
          <c:xMode val="edge"/>
          <c:yMode val="edge"/>
          <c:x val="9.3896713615023567E-2"/>
          <c:y val="7.0312500000000555E-2"/>
          <c:w val="0.88761324711144551"/>
          <c:h val="0.78125"/>
        </c:manualLayout>
      </c:layout>
      <c:barChart>
        <c:barDir val="col"/>
        <c:grouping val="clustered"/>
        <c:ser>
          <c:idx val="1"/>
          <c:order val="0"/>
          <c:tx>
            <c:strRef>
              <c:f>Sheet1!$A$2</c:f>
              <c:strCache>
                <c:ptCount val="1"/>
                <c:pt idx="0">
                  <c:v>AVANCE FISICO</c:v>
                </c:pt>
              </c:strCache>
            </c:strRef>
          </c:tx>
          <c:spPr>
            <a:solidFill>
              <a:schemeClr val="bg2">
                <a:lumMod val="75000"/>
              </a:schemeClr>
            </a:solidFill>
            <a:ln w="19050">
              <a:solidFill>
                <a:schemeClr val="tx1"/>
              </a:solidFill>
            </a:ln>
          </c:spPr>
          <c:dPt>
            <c:idx val="0"/>
            <c:spPr>
              <a:solidFill>
                <a:schemeClr val="bg2">
                  <a:lumMod val="75000"/>
                </a:schemeClr>
              </a:solidFill>
              <a:ln w="19050">
                <a:solidFill>
                  <a:schemeClr val="tx1"/>
                </a:solidFill>
                <a:prstDash val="solid"/>
              </a:ln>
            </c:spPr>
          </c:dPt>
          <c:dPt>
            <c:idx val="8"/>
            <c:spPr>
              <a:solidFill>
                <a:schemeClr val="accent4"/>
              </a:solidFill>
              <a:ln w="19050">
                <a:solidFill>
                  <a:schemeClr val="tx1"/>
                </a:solidFill>
              </a:ln>
            </c:spPr>
          </c:dPt>
          <c:dLbls>
            <c:dLbl>
              <c:idx val="3"/>
              <c:delete val="1"/>
            </c:dLbl>
            <c:dLbl>
              <c:idx val="6"/>
              <c:layout>
                <c:manualLayout>
                  <c:x val="0"/>
                  <c:y val="0"/>
                </c:manualLayout>
              </c:layout>
              <c:showVal val="1"/>
            </c:dLbl>
            <c:dLbl>
              <c:idx val="8"/>
              <c:layout>
                <c:manualLayout>
                  <c:x val="4.1088854648176718E-3"/>
                  <c:y val="0"/>
                </c:manualLayout>
              </c:layout>
              <c:showVal val="1"/>
            </c:dLbl>
            <c:txPr>
              <a:bodyPr/>
              <a:lstStyle/>
              <a:p>
                <a:pPr>
                  <a:defRPr sz="900"/>
                </a:pPr>
                <a:endParaRPr lang="es-SV"/>
              </a:p>
            </c:txPr>
            <c:showVal val="1"/>
          </c:dLbls>
          <c:cat>
            <c:strRef>
              <c:f>Sheet1!$B$1:$J$1</c:f>
              <c:strCache>
                <c:ptCount val="9"/>
                <c:pt idx="0">
                  <c:v>1</c:v>
                </c:pt>
                <c:pt idx="1">
                  <c:v>2</c:v>
                </c:pt>
                <c:pt idx="2">
                  <c:v>3</c:v>
                </c:pt>
                <c:pt idx="3">
                  <c:v>4</c:v>
                </c:pt>
                <c:pt idx="4">
                  <c:v>5</c:v>
                </c:pt>
                <c:pt idx="5">
                  <c:v>6</c:v>
                </c:pt>
                <c:pt idx="6">
                  <c:v>7</c:v>
                </c:pt>
                <c:pt idx="7">
                  <c:v>8</c:v>
                </c:pt>
                <c:pt idx="8">
                  <c:v>Total Institución</c:v>
                </c:pt>
              </c:strCache>
            </c:strRef>
          </c:cat>
          <c:val>
            <c:numRef>
              <c:f>Sheet1!$B$2:$J$2</c:f>
              <c:numCache>
                <c:formatCode>General</c:formatCode>
                <c:ptCount val="9"/>
                <c:pt idx="2" formatCode="0.0">
                  <c:v>100</c:v>
                </c:pt>
                <c:pt idx="3" formatCode="0.0">
                  <c:v>0</c:v>
                </c:pt>
                <c:pt idx="4">
                  <c:v>100</c:v>
                </c:pt>
                <c:pt idx="5" formatCode="0.0">
                  <c:v>100</c:v>
                </c:pt>
                <c:pt idx="6" formatCode="0.0">
                  <c:v>55</c:v>
                </c:pt>
                <c:pt idx="7" formatCode="0.0">
                  <c:v>100</c:v>
                </c:pt>
                <c:pt idx="8" formatCode="0.0">
                  <c:v>98.2</c:v>
                </c:pt>
              </c:numCache>
            </c:numRef>
          </c:val>
        </c:ser>
        <c:dLbls>
          <c:showVal val="1"/>
        </c:dLbls>
        <c:axId val="101220352"/>
        <c:axId val="101221888"/>
      </c:barChart>
      <c:catAx>
        <c:axId val="101220352"/>
        <c:scaling>
          <c:orientation val="minMax"/>
        </c:scaling>
        <c:axPos val="b"/>
        <c:numFmt formatCode="General" sourceLinked="1"/>
        <c:tickLblPos val="nextTo"/>
        <c:spPr>
          <a:ln w="3175">
            <a:solidFill>
              <a:srgbClr val="000000"/>
            </a:solidFill>
            <a:prstDash val="solid"/>
          </a:ln>
        </c:spPr>
        <c:txPr>
          <a:bodyPr rot="0" vert="horz"/>
          <a:lstStyle/>
          <a:p>
            <a:pPr>
              <a:defRPr sz="900" b="1" i="0" u="none" strike="noStrike" baseline="0">
                <a:solidFill>
                  <a:srgbClr val="000000"/>
                </a:solidFill>
                <a:latin typeface="Arial"/>
                <a:ea typeface="Arial"/>
                <a:cs typeface="Arial"/>
              </a:defRPr>
            </a:pPr>
            <a:endParaRPr lang="es-SV"/>
          </a:p>
        </c:txPr>
        <c:crossAx val="101221888"/>
        <c:crosses val="autoZero"/>
        <c:auto val="1"/>
        <c:lblAlgn val="ctr"/>
        <c:lblOffset val="100"/>
        <c:tickLblSkip val="1"/>
        <c:tickMarkSkip val="1"/>
      </c:catAx>
      <c:valAx>
        <c:axId val="101221888"/>
        <c:scaling>
          <c:orientation val="minMax"/>
          <c:max val="120"/>
          <c:min val="0"/>
        </c:scaling>
        <c:axPos val="l"/>
        <c:majorGridlines>
          <c:spPr>
            <a:ln w="3175">
              <a:solidFill>
                <a:srgbClr val="000000"/>
              </a:solidFill>
              <a:prstDash val="solid"/>
            </a:ln>
          </c:spPr>
        </c:majorGridlines>
        <c:title>
          <c:tx>
            <c:rich>
              <a:bodyPr rot="0" vert="wordArtVert"/>
              <a:lstStyle/>
              <a:p>
                <a:pPr algn="ctr">
                  <a:defRPr sz="800" b="1" i="0" u="none" strike="noStrike" baseline="0">
                    <a:solidFill>
                      <a:srgbClr val="000000"/>
                    </a:solidFill>
                    <a:latin typeface="Arial"/>
                    <a:ea typeface="Arial"/>
                    <a:cs typeface="Arial"/>
                  </a:defRPr>
                </a:pPr>
                <a:r>
                  <a:rPr lang="es-SV"/>
                  <a:t>PORCENTAJE</a:t>
                </a:r>
              </a:p>
            </c:rich>
          </c:tx>
          <c:layout>
            <c:manualLayout>
              <c:xMode val="edge"/>
              <c:yMode val="edge"/>
              <c:x val="7.5281575935519781E-3"/>
              <c:y val="0.17858109841533024"/>
            </c:manualLayout>
          </c:layout>
          <c:spPr>
            <a:noFill/>
            <a:ln w="25400">
              <a:noFill/>
            </a:ln>
          </c:spPr>
        </c:title>
        <c:numFmt formatCode="0;[Red]0" sourceLinked="0"/>
        <c:tickLblPos val="nextTo"/>
        <c:spPr>
          <a:ln w="3175">
            <a:solidFill>
              <a:srgbClr val="000000"/>
            </a:solidFill>
            <a:prstDash val="solid"/>
          </a:ln>
        </c:spPr>
        <c:txPr>
          <a:bodyPr rot="0" vert="horz"/>
          <a:lstStyle/>
          <a:p>
            <a:pPr>
              <a:defRPr sz="800" b="1" i="0" u="none" strike="noStrike" baseline="0">
                <a:solidFill>
                  <a:srgbClr val="000000"/>
                </a:solidFill>
                <a:latin typeface="Arial"/>
                <a:ea typeface="Arial"/>
                <a:cs typeface="Arial"/>
              </a:defRPr>
            </a:pPr>
            <a:endParaRPr lang="es-SV"/>
          </a:p>
        </c:txPr>
        <c:crossAx val="101220352"/>
        <c:crosses val="autoZero"/>
        <c:crossBetween val="between"/>
        <c:majorUnit val="20"/>
      </c:valAx>
      <c:spPr>
        <a:ln w="12700">
          <a:noFill/>
          <a:prstDash val="solid"/>
        </a:ln>
      </c:spPr>
    </c:plotArea>
    <c:plotVisOnly val="1"/>
    <c:dispBlanksAs val="gap"/>
  </c:chart>
  <c:spPr>
    <a:noFill/>
    <a:ln w="12700">
      <a:solidFill>
        <a:srgbClr val="000000"/>
      </a:solidFill>
      <a:prstDash val="solid"/>
    </a:ln>
  </c:spPr>
  <c:txPr>
    <a:bodyPr/>
    <a:lstStyle/>
    <a:p>
      <a:pPr>
        <a:defRPr sz="1125" b="1" i="0" u="none" strike="noStrike" baseline="0">
          <a:solidFill>
            <a:srgbClr val="000000"/>
          </a:solidFill>
          <a:latin typeface="Arial"/>
          <a:ea typeface="Arial"/>
          <a:cs typeface="Arial"/>
        </a:defRPr>
      </a:pPr>
      <a:endParaRPr lang="es-SV"/>
    </a:p>
  </c:txPr>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es-SV"/>
  <c:chart>
    <c:autoTitleDeleted val="1"/>
    <c:plotArea>
      <c:layout>
        <c:manualLayout>
          <c:layoutTarget val="inner"/>
          <c:xMode val="edge"/>
          <c:yMode val="edge"/>
          <c:x val="9.3896713615023567E-2"/>
          <c:y val="7.0312500000000583E-2"/>
          <c:w val="0.88761324711144551"/>
          <c:h val="0.78125"/>
        </c:manualLayout>
      </c:layout>
      <c:barChart>
        <c:barDir val="col"/>
        <c:grouping val="clustered"/>
        <c:ser>
          <c:idx val="1"/>
          <c:order val="0"/>
          <c:tx>
            <c:strRef>
              <c:f>Sheet1!$A$2</c:f>
              <c:strCache>
                <c:ptCount val="1"/>
                <c:pt idx="0">
                  <c:v>AVANCE FISICO</c:v>
                </c:pt>
              </c:strCache>
            </c:strRef>
          </c:tx>
          <c:spPr>
            <a:solidFill>
              <a:schemeClr val="bg2">
                <a:lumMod val="75000"/>
              </a:schemeClr>
            </a:solidFill>
            <a:ln w="19050">
              <a:solidFill>
                <a:schemeClr val="tx1"/>
              </a:solidFill>
            </a:ln>
          </c:spPr>
          <c:dPt>
            <c:idx val="0"/>
            <c:spPr>
              <a:solidFill>
                <a:schemeClr val="bg2">
                  <a:lumMod val="75000"/>
                </a:schemeClr>
              </a:solidFill>
              <a:ln w="19050">
                <a:solidFill>
                  <a:schemeClr val="tx1"/>
                </a:solidFill>
                <a:prstDash val="solid"/>
              </a:ln>
            </c:spPr>
          </c:dPt>
          <c:dPt>
            <c:idx val="8"/>
            <c:spPr>
              <a:solidFill>
                <a:schemeClr val="accent4"/>
              </a:solidFill>
              <a:ln w="19050">
                <a:solidFill>
                  <a:schemeClr val="tx1"/>
                </a:solidFill>
              </a:ln>
            </c:spPr>
          </c:dPt>
          <c:dLbls>
            <c:dLbl>
              <c:idx val="6"/>
              <c:layout>
                <c:manualLayout>
                  <c:x val="0"/>
                  <c:y val="0"/>
                </c:manualLayout>
              </c:layout>
              <c:showVal val="1"/>
            </c:dLbl>
            <c:dLbl>
              <c:idx val="8"/>
              <c:layout>
                <c:manualLayout>
                  <c:x val="4.1088854648176692E-3"/>
                  <c:y val="0"/>
                </c:manualLayout>
              </c:layout>
              <c:tx>
                <c:rich>
                  <a:bodyPr/>
                  <a:lstStyle/>
                  <a:p>
                    <a:r>
                      <a:rPr lang="en-US"/>
                      <a:t>99.1</a:t>
                    </a:r>
                  </a:p>
                </c:rich>
              </c:tx>
              <c:showVal val="1"/>
            </c:dLbl>
            <c:numFmt formatCode="#,##0.00" sourceLinked="0"/>
            <c:txPr>
              <a:bodyPr/>
              <a:lstStyle/>
              <a:p>
                <a:pPr>
                  <a:defRPr sz="900"/>
                </a:pPr>
                <a:endParaRPr lang="es-SV"/>
              </a:p>
            </c:txPr>
            <c:showVal val="1"/>
          </c:dLbls>
          <c:cat>
            <c:strRef>
              <c:f>Sheet1!$B$1:$J$1</c:f>
              <c:strCache>
                <c:ptCount val="9"/>
                <c:pt idx="0">
                  <c:v>1</c:v>
                </c:pt>
                <c:pt idx="1">
                  <c:v>2</c:v>
                </c:pt>
                <c:pt idx="2">
                  <c:v>3</c:v>
                </c:pt>
                <c:pt idx="3">
                  <c:v>4</c:v>
                </c:pt>
                <c:pt idx="4">
                  <c:v>5</c:v>
                </c:pt>
                <c:pt idx="5">
                  <c:v>6</c:v>
                </c:pt>
                <c:pt idx="6">
                  <c:v>7</c:v>
                </c:pt>
                <c:pt idx="7">
                  <c:v>8</c:v>
                </c:pt>
                <c:pt idx="8">
                  <c:v>Total Institución</c:v>
                </c:pt>
              </c:strCache>
            </c:strRef>
          </c:cat>
          <c:val>
            <c:numRef>
              <c:f>Sheet1!$B$2:$J$2</c:f>
              <c:numCache>
                <c:formatCode>0.0</c:formatCode>
                <c:ptCount val="9"/>
                <c:pt idx="1">
                  <c:v>100</c:v>
                </c:pt>
                <c:pt idx="2">
                  <c:v>100</c:v>
                </c:pt>
                <c:pt idx="3">
                  <c:v>100</c:v>
                </c:pt>
                <c:pt idx="4" formatCode="General">
                  <c:v>100</c:v>
                </c:pt>
                <c:pt idx="5">
                  <c:v>100</c:v>
                </c:pt>
                <c:pt idx="6">
                  <c:v>77.5</c:v>
                </c:pt>
                <c:pt idx="7">
                  <c:v>100</c:v>
                </c:pt>
                <c:pt idx="8">
                  <c:v>99.1</c:v>
                </c:pt>
              </c:numCache>
            </c:numRef>
          </c:val>
        </c:ser>
        <c:dLbls>
          <c:showVal val="1"/>
        </c:dLbls>
        <c:axId val="101242752"/>
        <c:axId val="101244288"/>
      </c:barChart>
      <c:catAx>
        <c:axId val="101242752"/>
        <c:scaling>
          <c:orientation val="minMax"/>
        </c:scaling>
        <c:axPos val="b"/>
        <c:numFmt formatCode="General" sourceLinked="1"/>
        <c:tickLblPos val="nextTo"/>
        <c:spPr>
          <a:ln w="3175">
            <a:solidFill>
              <a:srgbClr val="000000"/>
            </a:solidFill>
            <a:prstDash val="solid"/>
          </a:ln>
        </c:spPr>
        <c:txPr>
          <a:bodyPr rot="0" vert="horz"/>
          <a:lstStyle/>
          <a:p>
            <a:pPr>
              <a:defRPr sz="900" b="1" i="0" u="none" strike="noStrike" baseline="0">
                <a:solidFill>
                  <a:srgbClr val="000000"/>
                </a:solidFill>
                <a:latin typeface="Arial"/>
                <a:ea typeface="Arial"/>
                <a:cs typeface="Arial"/>
              </a:defRPr>
            </a:pPr>
            <a:endParaRPr lang="es-SV"/>
          </a:p>
        </c:txPr>
        <c:crossAx val="101244288"/>
        <c:crosses val="autoZero"/>
        <c:auto val="1"/>
        <c:lblAlgn val="ctr"/>
        <c:lblOffset val="100"/>
        <c:tickLblSkip val="1"/>
        <c:tickMarkSkip val="1"/>
      </c:catAx>
      <c:valAx>
        <c:axId val="101244288"/>
        <c:scaling>
          <c:orientation val="minMax"/>
          <c:max val="120"/>
          <c:min val="0"/>
        </c:scaling>
        <c:axPos val="l"/>
        <c:majorGridlines>
          <c:spPr>
            <a:ln w="3175">
              <a:solidFill>
                <a:srgbClr val="000000"/>
              </a:solidFill>
              <a:prstDash val="solid"/>
            </a:ln>
          </c:spPr>
        </c:majorGridlines>
        <c:title>
          <c:tx>
            <c:rich>
              <a:bodyPr rot="0" vert="wordArtVert"/>
              <a:lstStyle/>
              <a:p>
                <a:pPr algn="ctr">
                  <a:defRPr sz="800" b="1" i="0" u="none" strike="noStrike" baseline="0">
                    <a:solidFill>
                      <a:srgbClr val="000000"/>
                    </a:solidFill>
                    <a:latin typeface="Arial"/>
                    <a:ea typeface="Arial"/>
                    <a:cs typeface="Arial"/>
                  </a:defRPr>
                </a:pPr>
                <a:r>
                  <a:rPr lang="es-SV"/>
                  <a:t>PORCENTAJE</a:t>
                </a:r>
              </a:p>
            </c:rich>
          </c:tx>
          <c:layout>
            <c:manualLayout>
              <c:xMode val="edge"/>
              <c:yMode val="edge"/>
              <c:x val="7.5281575935519799E-3"/>
              <c:y val="0.17858109841533029"/>
            </c:manualLayout>
          </c:layout>
          <c:spPr>
            <a:noFill/>
            <a:ln w="25400">
              <a:noFill/>
            </a:ln>
          </c:spPr>
        </c:title>
        <c:numFmt formatCode="0;[Red]0" sourceLinked="0"/>
        <c:tickLblPos val="nextTo"/>
        <c:spPr>
          <a:ln w="3175">
            <a:solidFill>
              <a:srgbClr val="000000"/>
            </a:solidFill>
            <a:prstDash val="solid"/>
          </a:ln>
        </c:spPr>
        <c:txPr>
          <a:bodyPr rot="0" vert="horz"/>
          <a:lstStyle/>
          <a:p>
            <a:pPr>
              <a:defRPr sz="800" b="1" i="0" u="none" strike="noStrike" baseline="0">
                <a:solidFill>
                  <a:srgbClr val="000000"/>
                </a:solidFill>
                <a:latin typeface="Arial"/>
                <a:ea typeface="Arial"/>
                <a:cs typeface="Arial"/>
              </a:defRPr>
            </a:pPr>
            <a:endParaRPr lang="es-SV"/>
          </a:p>
        </c:txPr>
        <c:crossAx val="101242752"/>
        <c:crosses val="autoZero"/>
        <c:crossBetween val="between"/>
        <c:majorUnit val="20"/>
      </c:valAx>
      <c:spPr>
        <a:ln w="12700">
          <a:noFill/>
          <a:prstDash val="solid"/>
        </a:ln>
      </c:spPr>
    </c:plotArea>
    <c:plotVisOnly val="1"/>
    <c:dispBlanksAs val="gap"/>
  </c:chart>
  <c:spPr>
    <a:noFill/>
    <a:ln w="12700">
      <a:solidFill>
        <a:srgbClr val="000000"/>
      </a:solidFill>
      <a:prstDash val="solid"/>
    </a:ln>
  </c:spPr>
  <c:txPr>
    <a:bodyPr/>
    <a:lstStyle/>
    <a:p>
      <a:pPr>
        <a:defRPr sz="1125" b="1" i="0" u="none" strike="noStrike" baseline="0">
          <a:solidFill>
            <a:srgbClr val="000000"/>
          </a:solidFill>
          <a:latin typeface="Arial"/>
          <a:ea typeface="Arial"/>
          <a:cs typeface="Arial"/>
        </a:defRPr>
      </a:pPr>
      <a:endParaRPr lang="es-SV"/>
    </a:p>
  </c:txPr>
  <c:externalData r:id="rId1"/>
</c:chartSpace>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3</Pages>
  <Words>899</Words>
  <Characters>4947</Characters>
  <Application>Microsoft Office Word</Application>
  <DocSecurity>0</DocSecurity>
  <Lines>41</Lines>
  <Paragraphs>11</Paragraphs>
  <ScaleCrop>false</ScaleCrop>
  <HeadingPairs>
    <vt:vector size="2" baseType="variant">
      <vt:variant>
        <vt:lpstr>Título</vt:lpstr>
      </vt:variant>
      <vt:variant>
        <vt:i4>1</vt:i4>
      </vt:variant>
    </vt:vector>
  </HeadingPairs>
  <TitlesOfParts>
    <vt:vector size="1" baseType="lpstr">
      <vt:lpstr/>
    </vt:vector>
  </TitlesOfParts>
  <Company> </Company>
  <LinksUpToDate>false</LinksUpToDate>
  <CharactersWithSpaces>5835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aarteaga</dc:creator>
  <cp:lastModifiedBy>aarteaga</cp:lastModifiedBy>
  <cp:revision>2</cp:revision>
  <dcterms:created xsi:type="dcterms:W3CDTF">2019-08-12T15:31:00Z</dcterms:created>
  <dcterms:modified xsi:type="dcterms:W3CDTF">2019-08-12T15:31:00Z</dcterms:modified>
</cp:coreProperties>
</file>