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6B8" w:rsidRPr="00EB6DAB" w:rsidRDefault="008A06B8" w:rsidP="008A06B8">
      <w:pPr>
        <w:pStyle w:val="Ttulo"/>
        <w:ind w:right="-46"/>
        <w:rPr>
          <w:rFonts w:ascii="Arial" w:hAnsi="Arial" w:cs="Arial"/>
          <w:b/>
          <w:sz w:val="24"/>
        </w:rPr>
      </w:pPr>
      <w:r w:rsidRPr="00EB6DAB">
        <w:rPr>
          <w:rFonts w:ascii="Arial" w:hAnsi="Arial" w:cs="Arial"/>
          <w:b/>
          <w:sz w:val="24"/>
        </w:rPr>
        <w:t>MINISTERIO DE AGRICULTURA Y GANADERIA</w:t>
      </w:r>
    </w:p>
    <w:p w:rsidR="008A06B8" w:rsidRPr="00EB6DAB" w:rsidRDefault="008A06B8" w:rsidP="008A06B8">
      <w:pPr>
        <w:pStyle w:val="Subttulo"/>
        <w:rPr>
          <w:rFonts w:ascii="Arial" w:hAnsi="Arial" w:cs="Arial"/>
          <w:sz w:val="24"/>
        </w:rPr>
      </w:pPr>
      <w:r w:rsidRPr="00EB6DAB">
        <w:rPr>
          <w:rFonts w:ascii="Arial" w:hAnsi="Arial" w:cs="Arial"/>
          <w:sz w:val="24"/>
        </w:rPr>
        <w:t>OFICINA DE POLITICAS Y PLANIFICACION SECTORIAL</w:t>
      </w:r>
    </w:p>
    <w:p w:rsidR="008A06B8" w:rsidRDefault="008A06B8" w:rsidP="008A06B8">
      <w:pPr>
        <w:pStyle w:val="Ttulo1"/>
      </w:pPr>
      <w:r>
        <w:t>DIVISION DE SEGUIMIENTO Y EVALUACION</w:t>
      </w:r>
    </w:p>
    <w:p w:rsidR="008A06B8" w:rsidRDefault="008A06B8" w:rsidP="008A06B8"/>
    <w:p w:rsidR="008A06B8" w:rsidRPr="00EB6DAB" w:rsidRDefault="008A06B8" w:rsidP="008A06B8">
      <w:pPr>
        <w:jc w:val="center"/>
        <w:rPr>
          <w:rFonts w:ascii="Arial" w:hAnsi="Arial" w:cs="Arial"/>
          <w:b/>
        </w:rPr>
      </w:pPr>
      <w:r w:rsidRPr="00EB6DAB">
        <w:rPr>
          <w:rFonts w:ascii="Arial" w:hAnsi="Arial" w:cs="Arial"/>
          <w:b/>
        </w:rPr>
        <w:t>INFORME DE SEGUIMIENTO DEL AVANCE FISICO DEL POA 2019</w:t>
      </w:r>
    </w:p>
    <w:p w:rsidR="008A06B8" w:rsidRDefault="008A06B8" w:rsidP="008A06B8">
      <w:pPr>
        <w:tabs>
          <w:tab w:val="left" w:pos="1440"/>
          <w:tab w:val="left" w:pos="1980"/>
        </w:tabs>
        <w:spacing w:before="240"/>
        <w:ind w:left="2124" w:hanging="2124"/>
        <w:jc w:val="both"/>
        <w:rPr>
          <w:rFonts w:ascii="Arial" w:hAnsi="Arial" w:cs="Arial"/>
          <w:b/>
          <w:sz w:val="22"/>
          <w:szCs w:val="22"/>
        </w:rPr>
      </w:pPr>
    </w:p>
    <w:p w:rsidR="008A06B8" w:rsidRDefault="008A06B8" w:rsidP="008A06B8">
      <w:pPr>
        <w:tabs>
          <w:tab w:val="left" w:pos="1440"/>
          <w:tab w:val="left" w:pos="1980"/>
        </w:tabs>
        <w:spacing w:before="240"/>
        <w:ind w:left="2124" w:hanging="2124"/>
        <w:jc w:val="both"/>
        <w:rPr>
          <w:rFonts w:ascii="Arial" w:hAnsi="Arial" w:cs="Arial"/>
          <w:b/>
          <w:sz w:val="22"/>
          <w:szCs w:val="22"/>
        </w:rPr>
      </w:pPr>
    </w:p>
    <w:p w:rsidR="008A06B8" w:rsidRPr="00741DDB" w:rsidRDefault="008A06B8" w:rsidP="008A06B8">
      <w:pPr>
        <w:spacing w:line="233" w:lineRule="auto"/>
        <w:ind w:left="2160" w:hanging="2160"/>
        <w:jc w:val="both"/>
        <w:rPr>
          <w:rFonts w:ascii="Arial" w:hAnsi="Arial" w:cs="Arial"/>
          <w:b/>
          <w:bCs/>
          <w:sz w:val="22"/>
          <w:szCs w:val="22"/>
        </w:rPr>
      </w:pPr>
      <w:r w:rsidRPr="00556B29">
        <w:rPr>
          <w:rFonts w:ascii="Arial" w:hAnsi="Arial" w:cs="Arial"/>
          <w:b/>
          <w:bCs/>
          <w:sz w:val="22"/>
          <w:szCs w:val="22"/>
        </w:rPr>
        <w:t>INSTITUCION:</w:t>
      </w:r>
      <w:r w:rsidRPr="00556B29">
        <w:rPr>
          <w:rFonts w:ascii="Arial" w:hAnsi="Arial" w:cs="Arial"/>
          <w:b/>
          <w:bCs/>
          <w:sz w:val="22"/>
          <w:szCs w:val="22"/>
        </w:rPr>
        <w:tab/>
      </w:r>
      <w:r w:rsidRPr="00B51FDF">
        <w:rPr>
          <w:rFonts w:ascii="Arial" w:hAnsi="Arial" w:cs="Arial"/>
          <w:bCs/>
          <w:sz w:val="22"/>
          <w:szCs w:val="22"/>
        </w:rPr>
        <w:t>Oficina de adquisición y Contratación Institucional</w:t>
      </w:r>
      <w:r>
        <w:rPr>
          <w:rFonts w:ascii="Arial" w:hAnsi="Arial" w:cs="Arial"/>
          <w:bCs/>
          <w:sz w:val="22"/>
          <w:szCs w:val="22"/>
        </w:rPr>
        <w:t xml:space="preserve"> </w:t>
      </w:r>
      <w:r w:rsidRPr="000E602E">
        <w:rPr>
          <w:rFonts w:ascii="Arial" w:hAnsi="Arial" w:cs="Arial"/>
          <w:sz w:val="22"/>
          <w:szCs w:val="22"/>
        </w:rPr>
        <w:t>(</w:t>
      </w:r>
      <w:r w:rsidRPr="00B51FDF">
        <w:rPr>
          <w:rFonts w:ascii="Arial" w:hAnsi="Arial" w:cs="Arial"/>
          <w:b/>
          <w:sz w:val="22"/>
          <w:szCs w:val="22"/>
        </w:rPr>
        <w:t>OACI</w:t>
      </w:r>
      <w:r w:rsidRPr="000E602E">
        <w:rPr>
          <w:rFonts w:ascii="Arial" w:hAnsi="Arial" w:cs="Arial"/>
          <w:sz w:val="22"/>
          <w:szCs w:val="22"/>
        </w:rPr>
        <w:t>)</w:t>
      </w:r>
    </w:p>
    <w:p w:rsidR="008A06B8" w:rsidRPr="00556B29" w:rsidRDefault="008A06B8" w:rsidP="008A06B8">
      <w:pPr>
        <w:spacing w:line="233" w:lineRule="auto"/>
        <w:jc w:val="both"/>
        <w:rPr>
          <w:rFonts w:ascii="Arial" w:hAnsi="Arial" w:cs="Arial"/>
          <w:b/>
          <w:bCs/>
          <w:sz w:val="22"/>
          <w:szCs w:val="22"/>
        </w:rPr>
      </w:pPr>
    </w:p>
    <w:p w:rsidR="008A06B8" w:rsidRPr="008A06B8" w:rsidRDefault="008A06B8" w:rsidP="008A06B8">
      <w:pPr>
        <w:spacing w:line="233" w:lineRule="auto"/>
        <w:jc w:val="both"/>
        <w:rPr>
          <w:rFonts w:ascii="Arial" w:hAnsi="Arial" w:cs="Arial"/>
          <w:color w:val="000000" w:themeColor="text1"/>
          <w:sz w:val="22"/>
          <w:szCs w:val="22"/>
        </w:rPr>
      </w:pPr>
      <w:r w:rsidRPr="00556B29">
        <w:rPr>
          <w:rFonts w:ascii="Arial" w:hAnsi="Arial" w:cs="Arial"/>
          <w:b/>
          <w:bCs/>
          <w:sz w:val="22"/>
          <w:szCs w:val="22"/>
        </w:rPr>
        <w:t>TRIMESTRE:</w:t>
      </w:r>
      <w:r w:rsidRPr="00556B29">
        <w:rPr>
          <w:rFonts w:ascii="Arial" w:hAnsi="Arial" w:cs="Arial"/>
          <w:b/>
          <w:bCs/>
          <w:sz w:val="22"/>
          <w:szCs w:val="22"/>
        </w:rPr>
        <w:tab/>
      </w:r>
      <w:r w:rsidRPr="00556B29">
        <w:rPr>
          <w:rFonts w:ascii="Arial" w:hAnsi="Arial" w:cs="Arial"/>
          <w:b/>
          <w:bCs/>
          <w:sz w:val="22"/>
          <w:szCs w:val="22"/>
        </w:rPr>
        <w:tab/>
      </w:r>
      <w:r w:rsidRPr="008A06B8">
        <w:rPr>
          <w:rFonts w:ascii="Arial" w:hAnsi="Arial" w:cs="Arial"/>
          <w:bCs/>
          <w:sz w:val="22"/>
          <w:szCs w:val="22"/>
        </w:rPr>
        <w:t>abril</w:t>
      </w:r>
      <w:r w:rsidRPr="008A06B8">
        <w:rPr>
          <w:rFonts w:ascii="Arial" w:hAnsi="Arial" w:cs="Arial"/>
          <w:color w:val="000000" w:themeColor="text1"/>
          <w:sz w:val="22"/>
          <w:szCs w:val="22"/>
        </w:rPr>
        <w:t>-junio</w:t>
      </w:r>
    </w:p>
    <w:p w:rsidR="008A06B8" w:rsidRDefault="008A06B8" w:rsidP="008A06B8">
      <w:pPr>
        <w:spacing w:line="233" w:lineRule="auto"/>
        <w:jc w:val="both"/>
        <w:rPr>
          <w:rFonts w:ascii="Arial" w:hAnsi="Arial" w:cs="Arial"/>
          <w:bCs/>
          <w:sz w:val="22"/>
          <w:szCs w:val="22"/>
        </w:rPr>
      </w:pPr>
    </w:p>
    <w:p w:rsidR="008A06B8" w:rsidRPr="008A06B8" w:rsidRDefault="008A06B8" w:rsidP="008A06B8">
      <w:pPr>
        <w:spacing w:line="233" w:lineRule="auto"/>
        <w:jc w:val="both"/>
        <w:rPr>
          <w:rFonts w:ascii="Arial" w:hAnsi="Arial" w:cs="Arial"/>
          <w:bCs/>
          <w:sz w:val="22"/>
          <w:szCs w:val="22"/>
        </w:rPr>
      </w:pPr>
      <w:r w:rsidRPr="008A06B8">
        <w:rPr>
          <w:rFonts w:ascii="Arial" w:hAnsi="Arial" w:cs="Arial"/>
          <w:b/>
          <w:bCs/>
          <w:sz w:val="22"/>
          <w:szCs w:val="22"/>
        </w:rPr>
        <w:t>PERIODO</w:t>
      </w: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sidRPr="008A06B8">
        <w:rPr>
          <w:rFonts w:ascii="Arial" w:hAnsi="Arial" w:cs="Arial"/>
          <w:bCs/>
          <w:sz w:val="22"/>
          <w:szCs w:val="22"/>
        </w:rPr>
        <w:t>enero-junio</w:t>
      </w:r>
    </w:p>
    <w:p w:rsidR="008A06B8" w:rsidRDefault="008A06B8" w:rsidP="008A06B8">
      <w:pPr>
        <w:spacing w:line="233" w:lineRule="auto"/>
        <w:jc w:val="both"/>
        <w:rPr>
          <w:rFonts w:ascii="Arial" w:hAnsi="Arial" w:cs="Arial"/>
          <w:bCs/>
          <w:sz w:val="22"/>
          <w:szCs w:val="22"/>
        </w:rPr>
      </w:pPr>
    </w:p>
    <w:p w:rsidR="008A06B8" w:rsidRPr="00C10997" w:rsidRDefault="008A06B8" w:rsidP="008A06B8">
      <w:pPr>
        <w:spacing w:line="233" w:lineRule="auto"/>
        <w:jc w:val="both"/>
        <w:rPr>
          <w:rFonts w:ascii="Arial" w:hAnsi="Arial" w:cs="Arial"/>
          <w:b/>
          <w:bCs/>
          <w:sz w:val="22"/>
          <w:szCs w:val="22"/>
        </w:rPr>
      </w:pPr>
      <w:r w:rsidRPr="00C10997">
        <w:rPr>
          <w:rFonts w:ascii="Arial" w:hAnsi="Arial" w:cs="Arial"/>
          <w:b/>
          <w:bCs/>
          <w:sz w:val="22"/>
          <w:szCs w:val="22"/>
        </w:rPr>
        <w:t>PRESENTACIÓN</w:t>
      </w:r>
    </w:p>
    <w:p w:rsidR="008A06B8" w:rsidRPr="003B7EA0" w:rsidRDefault="004C2041" w:rsidP="008A06B8">
      <w:pPr>
        <w:spacing w:before="220" w:after="220"/>
        <w:jc w:val="both"/>
        <w:rPr>
          <w:rFonts w:ascii="Arial" w:hAnsi="Arial" w:cs="Arial"/>
          <w:sz w:val="22"/>
        </w:rPr>
      </w:pPr>
      <w:r w:rsidRPr="00921912">
        <w:rPr>
          <w:rFonts w:ascii="Arial" w:hAnsi="Arial" w:cs="Arial"/>
          <w:color w:val="000000" w:themeColor="text1"/>
          <w:sz w:val="22"/>
        </w:rPr>
        <w:t>Señor Director comunicarle  que el</w:t>
      </w:r>
      <w:r w:rsidR="008A06B8" w:rsidRPr="00921912">
        <w:rPr>
          <w:rFonts w:ascii="Arial" w:hAnsi="Arial" w:cs="Arial"/>
          <w:color w:val="000000" w:themeColor="text1"/>
          <w:sz w:val="22"/>
        </w:rPr>
        <w:t xml:space="preserve"> presente Informe de Seguimiento contiene el avance</w:t>
      </w:r>
      <w:r w:rsidR="008A06B8" w:rsidRPr="003B7EA0">
        <w:rPr>
          <w:rFonts w:ascii="Arial" w:hAnsi="Arial" w:cs="Arial"/>
          <w:sz w:val="22"/>
        </w:rPr>
        <w:t xml:space="preserve"> físico obtenido por la </w:t>
      </w:r>
      <w:r w:rsidR="008A06B8">
        <w:rPr>
          <w:rFonts w:ascii="Arial" w:hAnsi="Arial" w:cs="Arial"/>
          <w:sz w:val="22"/>
        </w:rPr>
        <w:t>OACI</w:t>
      </w:r>
      <w:r w:rsidR="008A06B8" w:rsidRPr="003B7EA0">
        <w:rPr>
          <w:rFonts w:ascii="Arial" w:hAnsi="Arial" w:cs="Arial"/>
          <w:sz w:val="22"/>
        </w:rPr>
        <w:t xml:space="preserve"> en el </w:t>
      </w:r>
      <w:r w:rsidR="008A06B8">
        <w:rPr>
          <w:rFonts w:ascii="Arial" w:hAnsi="Arial" w:cs="Arial"/>
          <w:sz w:val="22"/>
        </w:rPr>
        <w:t>segundo</w:t>
      </w:r>
      <w:r w:rsidR="008A06B8" w:rsidRPr="003B7EA0">
        <w:rPr>
          <w:rFonts w:ascii="Arial" w:hAnsi="Arial" w:cs="Arial"/>
          <w:sz w:val="22"/>
        </w:rPr>
        <w:t xml:space="preserve"> trimestre de 201</w:t>
      </w:r>
      <w:r w:rsidR="008A06B8">
        <w:rPr>
          <w:rFonts w:ascii="Arial" w:hAnsi="Arial" w:cs="Arial"/>
          <w:sz w:val="22"/>
        </w:rPr>
        <w:t>9</w:t>
      </w:r>
      <w:r w:rsidR="008A06B8" w:rsidRPr="003B7EA0">
        <w:rPr>
          <w:rFonts w:ascii="Arial" w:hAnsi="Arial" w:cs="Arial"/>
          <w:sz w:val="22"/>
        </w:rPr>
        <w:t xml:space="preserve">. La valoración del desempeño físico está hecha sobre la base de la siguiente tabla: cumplimiento menor </w:t>
      </w:r>
      <w:r w:rsidR="008A06B8">
        <w:rPr>
          <w:rFonts w:ascii="Arial" w:hAnsi="Arial" w:cs="Arial"/>
          <w:sz w:val="22"/>
        </w:rPr>
        <w:t xml:space="preserve">que </w:t>
      </w:r>
      <w:r w:rsidR="008A06B8" w:rsidRPr="003B7EA0">
        <w:rPr>
          <w:rFonts w:ascii="Arial" w:hAnsi="Arial" w:cs="Arial"/>
          <w:sz w:val="22"/>
        </w:rPr>
        <w:t>60.0% = Deficiente; de 60.0% a 79.9% = Regular; de 80.0% a 89.9% = Bueno; y, de 90.0 a 100.0% = Muy Bueno.</w:t>
      </w:r>
    </w:p>
    <w:p w:rsidR="008A06B8" w:rsidRPr="00921912" w:rsidRDefault="008A06B8" w:rsidP="008A06B8">
      <w:pPr>
        <w:spacing w:before="220" w:after="220"/>
        <w:jc w:val="both"/>
        <w:rPr>
          <w:rFonts w:ascii="Arial" w:hAnsi="Arial" w:cs="Arial"/>
          <w:color w:val="000000" w:themeColor="text1"/>
          <w:sz w:val="22"/>
        </w:rPr>
      </w:pPr>
      <w:r w:rsidRPr="00921912">
        <w:rPr>
          <w:rFonts w:ascii="Arial" w:hAnsi="Arial" w:cs="Arial"/>
          <w:color w:val="000000" w:themeColor="text1"/>
          <w:sz w:val="22"/>
        </w:rPr>
        <w:t>Se solicita a la OACI</w:t>
      </w:r>
      <w:r w:rsidR="004C2041" w:rsidRPr="00921912">
        <w:rPr>
          <w:rFonts w:ascii="Arial" w:hAnsi="Arial" w:cs="Arial"/>
          <w:color w:val="000000" w:themeColor="text1"/>
          <w:sz w:val="22"/>
        </w:rPr>
        <w:t xml:space="preserve"> presentar una estrategia de cumplimiento, ya que al analizar el avance físico obtenido es necesario</w:t>
      </w:r>
      <w:r w:rsidR="00A076A5" w:rsidRPr="00921912">
        <w:rPr>
          <w:rFonts w:ascii="Arial" w:hAnsi="Arial" w:cs="Arial"/>
          <w:color w:val="000000" w:themeColor="text1"/>
          <w:sz w:val="22"/>
        </w:rPr>
        <w:t xml:space="preserve"> que para </w:t>
      </w:r>
      <w:r w:rsidRPr="00921912">
        <w:rPr>
          <w:rFonts w:ascii="Arial" w:hAnsi="Arial" w:cs="Arial"/>
          <w:color w:val="000000" w:themeColor="text1"/>
          <w:sz w:val="22"/>
        </w:rPr>
        <w:t>futuros informes, cuando una meta presente un cumplimiento inferior a 90%, explique de manera clara y objetiva las causas que restringieron el cumplimiento de la meta.</w:t>
      </w:r>
    </w:p>
    <w:p w:rsidR="008A06B8" w:rsidRPr="00921912" w:rsidRDefault="008A06B8" w:rsidP="008A06B8">
      <w:pPr>
        <w:pStyle w:val="Ttulo9"/>
        <w:rPr>
          <w:b w:val="0"/>
          <w:color w:val="000000" w:themeColor="text1"/>
        </w:rPr>
      </w:pPr>
      <w:r w:rsidRPr="00921912">
        <w:rPr>
          <w:b w:val="0"/>
          <w:color w:val="000000" w:themeColor="text1"/>
        </w:rPr>
        <w:t xml:space="preserve">I. </w:t>
      </w:r>
      <w:r w:rsidRPr="00921912">
        <w:rPr>
          <w:b w:val="0"/>
          <w:color w:val="000000" w:themeColor="text1"/>
        </w:rPr>
        <w:tab/>
        <w:t>AVANCE FISICO EN EL TRIMESTRE ABRIL-JUNIO DE 2019</w:t>
      </w:r>
    </w:p>
    <w:p w:rsidR="008A06B8" w:rsidRDefault="008A06B8" w:rsidP="008A06B8">
      <w:pPr>
        <w:jc w:val="both"/>
        <w:rPr>
          <w:rFonts w:ascii="Arial" w:hAnsi="Arial" w:cs="Arial"/>
          <w:bCs/>
          <w:sz w:val="22"/>
        </w:rPr>
      </w:pPr>
    </w:p>
    <w:p w:rsidR="008A06B8" w:rsidRDefault="008A06B8" w:rsidP="008A06B8">
      <w:pPr>
        <w:pStyle w:val="Textoindependiente3"/>
        <w:rPr>
          <w:szCs w:val="24"/>
        </w:rPr>
      </w:pPr>
      <w:r w:rsidRPr="00827C92">
        <w:rPr>
          <w:szCs w:val="24"/>
        </w:rPr>
        <w:t xml:space="preserve">En el </w:t>
      </w:r>
      <w:r>
        <w:rPr>
          <w:szCs w:val="24"/>
        </w:rPr>
        <w:t xml:space="preserve">segundo </w:t>
      </w:r>
      <w:r w:rsidRPr="00827C92">
        <w:rPr>
          <w:szCs w:val="24"/>
        </w:rPr>
        <w:t>trimestre de 201</w:t>
      </w:r>
      <w:r>
        <w:rPr>
          <w:szCs w:val="24"/>
        </w:rPr>
        <w:t>9,</w:t>
      </w:r>
      <w:r w:rsidRPr="00827C92">
        <w:rPr>
          <w:szCs w:val="24"/>
        </w:rPr>
        <w:t xml:space="preserve"> la OA</w:t>
      </w:r>
      <w:r>
        <w:rPr>
          <w:szCs w:val="24"/>
        </w:rPr>
        <w:t xml:space="preserve">CI logró </w:t>
      </w:r>
      <w:r w:rsidRPr="00827C92">
        <w:rPr>
          <w:szCs w:val="24"/>
        </w:rPr>
        <w:t xml:space="preserve">un avance físico de </w:t>
      </w:r>
      <w:r w:rsidR="00191E80">
        <w:rPr>
          <w:szCs w:val="24"/>
        </w:rPr>
        <w:t>41.4</w:t>
      </w:r>
      <w:r>
        <w:rPr>
          <w:szCs w:val="24"/>
        </w:rPr>
        <w:t xml:space="preserve"> %, considera</w:t>
      </w:r>
      <w:r w:rsidR="00A076A5">
        <w:rPr>
          <w:szCs w:val="24"/>
        </w:rPr>
        <w:t xml:space="preserve">do como deficiente; dicha ponderación </w:t>
      </w:r>
      <w:r>
        <w:rPr>
          <w:szCs w:val="24"/>
        </w:rPr>
        <w:t xml:space="preserve"> </w:t>
      </w:r>
      <w:r w:rsidRPr="00827C92">
        <w:rPr>
          <w:szCs w:val="24"/>
        </w:rPr>
        <w:t xml:space="preserve">obedece a que de los </w:t>
      </w:r>
      <w:r>
        <w:rPr>
          <w:szCs w:val="24"/>
        </w:rPr>
        <w:t xml:space="preserve">tres </w:t>
      </w:r>
      <w:r w:rsidRPr="00827C92">
        <w:rPr>
          <w:szCs w:val="24"/>
        </w:rPr>
        <w:t xml:space="preserve">Indicadores de Resultados que presentan planificación a cumplir en el referido trimestre, </w:t>
      </w:r>
      <w:r>
        <w:rPr>
          <w:szCs w:val="24"/>
        </w:rPr>
        <w:t xml:space="preserve">dos </w:t>
      </w:r>
      <w:r w:rsidRPr="00827C92">
        <w:rPr>
          <w:szCs w:val="24"/>
        </w:rPr>
        <w:t xml:space="preserve">reportaron cumplimiento </w:t>
      </w:r>
      <w:r w:rsidR="00191E80">
        <w:rPr>
          <w:szCs w:val="24"/>
        </w:rPr>
        <w:t xml:space="preserve">parcial y </w:t>
      </w:r>
      <w:r>
        <w:rPr>
          <w:szCs w:val="24"/>
        </w:rPr>
        <w:t xml:space="preserve">uno </w:t>
      </w:r>
      <w:r w:rsidR="00191E80">
        <w:rPr>
          <w:szCs w:val="24"/>
        </w:rPr>
        <w:t>sin programación en el trimestre informado.</w:t>
      </w:r>
    </w:p>
    <w:p w:rsidR="008A06B8" w:rsidRDefault="008A06B8" w:rsidP="008A06B8">
      <w:pPr>
        <w:pStyle w:val="Textoindependiente3"/>
        <w:rPr>
          <w:szCs w:val="24"/>
        </w:rPr>
      </w:pPr>
    </w:p>
    <w:p w:rsidR="008A06B8" w:rsidRPr="00921912" w:rsidRDefault="008A06B8" w:rsidP="008A06B8">
      <w:pPr>
        <w:pStyle w:val="Textoindependiente3"/>
        <w:rPr>
          <w:color w:val="000000" w:themeColor="text1"/>
        </w:rPr>
      </w:pPr>
      <w:r>
        <w:rPr>
          <w:szCs w:val="24"/>
        </w:rPr>
        <w:t>El cumplimiento de metas del indicador</w:t>
      </w:r>
      <w:r w:rsidR="00B34B2A">
        <w:rPr>
          <w:szCs w:val="24"/>
        </w:rPr>
        <w:t xml:space="preserve"> #2</w:t>
      </w:r>
      <w:r>
        <w:rPr>
          <w:szCs w:val="24"/>
        </w:rPr>
        <w:t xml:space="preserve"> “</w:t>
      </w:r>
      <w:r w:rsidRPr="0047182E">
        <w:rPr>
          <w:i/>
          <w:szCs w:val="24"/>
        </w:rPr>
        <w:t xml:space="preserve">Orden de compra para la adquisición de obras, </w:t>
      </w:r>
      <w:r w:rsidRPr="00B34B2A">
        <w:rPr>
          <w:i/>
        </w:rPr>
        <w:t>bienes y servicios para el MAG, elaborada</w:t>
      </w:r>
      <w:r w:rsidRPr="00B34B2A">
        <w:t>”</w:t>
      </w:r>
      <w:r w:rsidR="00B34B2A" w:rsidRPr="00B34B2A">
        <w:t xml:space="preserve"> y el indicador </w:t>
      </w:r>
      <w:r w:rsidR="00B34B2A">
        <w:t>#3</w:t>
      </w:r>
      <w:r w:rsidR="00B34B2A" w:rsidRPr="00B34B2A">
        <w:t xml:space="preserve"> </w:t>
      </w:r>
      <w:r w:rsidR="00B34B2A" w:rsidRPr="00B34B2A">
        <w:rPr>
          <w:i/>
        </w:rPr>
        <w:t>Contratos y/o ordenes de negociación para la adquisición de obras, bienes y servicios para el MAG, elaborados</w:t>
      </w:r>
      <w:r w:rsidR="00B34B2A" w:rsidRPr="00B34B2A">
        <w:t xml:space="preserve">      </w:t>
      </w:r>
      <w:r w:rsidRPr="00B34B2A">
        <w:t xml:space="preserve">, </w:t>
      </w:r>
      <w:r w:rsidRPr="00921912">
        <w:rPr>
          <w:color w:val="000000" w:themeColor="text1"/>
        </w:rPr>
        <w:t>presenta un nivel de ejecución bajo (</w:t>
      </w:r>
      <w:r w:rsidR="00B34B2A" w:rsidRPr="00921912">
        <w:rPr>
          <w:color w:val="000000" w:themeColor="text1"/>
        </w:rPr>
        <w:t>46.2% y 36.7</w:t>
      </w:r>
      <w:r w:rsidRPr="00921912">
        <w:rPr>
          <w:color w:val="000000" w:themeColor="text1"/>
        </w:rPr>
        <w:t xml:space="preserve">%) </w:t>
      </w:r>
      <w:r w:rsidR="00B34B2A" w:rsidRPr="00921912">
        <w:rPr>
          <w:color w:val="000000" w:themeColor="text1"/>
        </w:rPr>
        <w:t xml:space="preserve">respectivamente, </w:t>
      </w:r>
      <w:r w:rsidRPr="00921912">
        <w:rPr>
          <w:color w:val="000000" w:themeColor="text1"/>
        </w:rPr>
        <w:t>debido a que la</w:t>
      </w:r>
      <w:r w:rsidR="00B34B2A" w:rsidRPr="00921912">
        <w:rPr>
          <w:color w:val="000000" w:themeColor="text1"/>
        </w:rPr>
        <w:t>s</w:t>
      </w:r>
      <w:r w:rsidRPr="00921912">
        <w:rPr>
          <w:color w:val="000000" w:themeColor="text1"/>
        </w:rPr>
        <w:t xml:space="preserve"> meta</w:t>
      </w:r>
      <w:r w:rsidR="00B34B2A" w:rsidRPr="00921912">
        <w:rPr>
          <w:color w:val="000000" w:themeColor="text1"/>
        </w:rPr>
        <w:t>s</w:t>
      </w:r>
      <w:r w:rsidRPr="00921912">
        <w:rPr>
          <w:color w:val="000000" w:themeColor="text1"/>
        </w:rPr>
        <w:t xml:space="preserve"> </w:t>
      </w:r>
      <w:r w:rsidR="00B34B2A" w:rsidRPr="00921912">
        <w:rPr>
          <w:color w:val="000000" w:themeColor="text1"/>
        </w:rPr>
        <w:t>están</w:t>
      </w:r>
      <w:r w:rsidRPr="00921912">
        <w:rPr>
          <w:color w:val="000000" w:themeColor="text1"/>
        </w:rPr>
        <w:t xml:space="preserve"> sujeta</w:t>
      </w:r>
      <w:r w:rsidR="00B34B2A" w:rsidRPr="00921912">
        <w:rPr>
          <w:color w:val="000000" w:themeColor="text1"/>
        </w:rPr>
        <w:t>s</w:t>
      </w:r>
      <w:r w:rsidRPr="00921912">
        <w:rPr>
          <w:color w:val="000000" w:themeColor="text1"/>
        </w:rPr>
        <w:t xml:space="preserve"> a demanda de l</w:t>
      </w:r>
      <w:r w:rsidR="00030F52" w:rsidRPr="00921912">
        <w:rPr>
          <w:color w:val="000000" w:themeColor="text1"/>
        </w:rPr>
        <w:t>os requerimientos</w:t>
      </w:r>
      <w:r w:rsidRPr="00921912">
        <w:rPr>
          <w:color w:val="000000" w:themeColor="text1"/>
        </w:rPr>
        <w:t xml:space="preserve"> </w:t>
      </w:r>
      <w:r w:rsidR="00FA4A94" w:rsidRPr="00921912">
        <w:rPr>
          <w:color w:val="000000" w:themeColor="text1"/>
        </w:rPr>
        <w:t>de las unidades solicitantes</w:t>
      </w:r>
      <w:r w:rsidR="00A076A5" w:rsidRPr="00921912">
        <w:rPr>
          <w:color w:val="000000" w:themeColor="text1"/>
        </w:rPr>
        <w:t xml:space="preserve"> ya  la falta de una estrategia interna de integración de equipos de trabajo</w:t>
      </w:r>
      <w:r w:rsidR="00D76F2E" w:rsidRPr="00921912">
        <w:rPr>
          <w:color w:val="000000" w:themeColor="text1"/>
        </w:rPr>
        <w:t xml:space="preserve"> lo que refleja resultados menores significativamente </w:t>
      </w:r>
      <w:r w:rsidRPr="00921912">
        <w:rPr>
          <w:color w:val="000000" w:themeColor="text1"/>
        </w:rPr>
        <w:t xml:space="preserve"> a la programación realizada para el trimestre.</w:t>
      </w:r>
    </w:p>
    <w:p w:rsidR="00FA4A94" w:rsidRPr="00921912" w:rsidRDefault="00FA4A94" w:rsidP="008A06B8">
      <w:pPr>
        <w:spacing w:line="216" w:lineRule="auto"/>
        <w:ind w:left="1410" w:hanging="1410"/>
        <w:rPr>
          <w:rFonts w:ascii="Arial" w:hAnsi="Arial" w:cs="Arial"/>
          <w:bCs/>
          <w:color w:val="000000" w:themeColor="text1"/>
          <w:sz w:val="20"/>
        </w:rPr>
      </w:pPr>
    </w:p>
    <w:p w:rsidR="008A06B8" w:rsidRPr="004D63C2" w:rsidRDefault="00FA4A94" w:rsidP="00FA4A94">
      <w:pPr>
        <w:spacing w:line="216" w:lineRule="auto"/>
        <w:ind w:left="1410" w:hanging="1410"/>
        <w:rPr>
          <w:rFonts w:ascii="Arial" w:hAnsi="Arial" w:cs="Arial"/>
          <w:color w:val="000000" w:themeColor="text1"/>
          <w:sz w:val="16"/>
          <w:szCs w:val="16"/>
        </w:rPr>
      </w:pPr>
      <w:r w:rsidRPr="004D63C2">
        <w:rPr>
          <w:rFonts w:ascii="Arial" w:hAnsi="Arial" w:cs="Arial"/>
          <w:bCs/>
          <w:noProof/>
          <w:color w:val="000000" w:themeColor="text1"/>
          <w:sz w:val="20"/>
          <w:lang w:val="es-SV" w:eastAsia="es-SV"/>
        </w:rPr>
        <w:drawing>
          <wp:anchor distT="0" distB="0" distL="114300" distR="114300" simplePos="0" relativeHeight="251659264" behindDoc="0" locked="0" layoutInCell="1" allowOverlap="1">
            <wp:simplePos x="0" y="0"/>
            <wp:positionH relativeFrom="column">
              <wp:posOffset>3175</wp:posOffset>
            </wp:positionH>
            <wp:positionV relativeFrom="paragraph">
              <wp:posOffset>185420</wp:posOffset>
            </wp:positionV>
            <wp:extent cx="5730240" cy="2047875"/>
            <wp:effectExtent l="19050" t="0" r="22860" b="0"/>
            <wp:wrapTopAndBottom/>
            <wp:docPr id="1"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sidR="008A06B8" w:rsidRPr="004D63C2">
        <w:rPr>
          <w:rFonts w:ascii="Arial" w:hAnsi="Arial" w:cs="Arial"/>
          <w:bCs/>
          <w:color w:val="000000" w:themeColor="text1"/>
          <w:sz w:val="20"/>
        </w:rPr>
        <w:t>Gráfico 1.</w:t>
      </w:r>
      <w:r w:rsidRPr="004D63C2">
        <w:rPr>
          <w:rFonts w:ascii="Arial" w:hAnsi="Arial" w:cs="Arial"/>
          <w:color w:val="000000" w:themeColor="text1"/>
          <w:sz w:val="20"/>
        </w:rPr>
        <w:t xml:space="preserve"> </w:t>
      </w:r>
      <w:r w:rsidR="008A06B8" w:rsidRPr="004D63C2">
        <w:rPr>
          <w:rFonts w:ascii="Arial" w:hAnsi="Arial" w:cs="Arial"/>
          <w:color w:val="000000" w:themeColor="text1"/>
          <w:sz w:val="16"/>
          <w:szCs w:val="16"/>
        </w:rPr>
        <w:t xml:space="preserve">Avance físico por Indicador de Producto y Total Institución en el </w:t>
      </w:r>
      <w:r w:rsidRPr="004D63C2">
        <w:rPr>
          <w:rFonts w:ascii="Arial" w:hAnsi="Arial" w:cs="Arial"/>
          <w:color w:val="000000" w:themeColor="text1"/>
          <w:sz w:val="16"/>
          <w:szCs w:val="16"/>
        </w:rPr>
        <w:t>2do.</w:t>
      </w:r>
      <w:r w:rsidR="008A06B8" w:rsidRPr="004D63C2">
        <w:rPr>
          <w:rFonts w:ascii="Arial" w:hAnsi="Arial" w:cs="Arial"/>
          <w:color w:val="000000" w:themeColor="text1"/>
          <w:sz w:val="16"/>
          <w:szCs w:val="16"/>
        </w:rPr>
        <w:t xml:space="preserve">trimestre </w:t>
      </w:r>
      <w:r w:rsidRPr="004D63C2">
        <w:rPr>
          <w:rFonts w:ascii="Arial" w:hAnsi="Arial" w:cs="Arial"/>
          <w:color w:val="000000" w:themeColor="text1"/>
          <w:sz w:val="16"/>
          <w:szCs w:val="16"/>
        </w:rPr>
        <w:t>abril</w:t>
      </w:r>
      <w:r w:rsidR="008A06B8" w:rsidRPr="004D63C2">
        <w:rPr>
          <w:rFonts w:ascii="Arial" w:hAnsi="Arial" w:cs="Arial"/>
          <w:color w:val="000000" w:themeColor="text1"/>
          <w:sz w:val="16"/>
          <w:szCs w:val="16"/>
        </w:rPr>
        <w:t>-</w:t>
      </w:r>
      <w:r w:rsidRPr="004D63C2">
        <w:rPr>
          <w:rFonts w:ascii="Arial" w:hAnsi="Arial" w:cs="Arial"/>
          <w:color w:val="000000" w:themeColor="text1"/>
          <w:sz w:val="16"/>
          <w:szCs w:val="16"/>
        </w:rPr>
        <w:t>junio</w:t>
      </w:r>
      <w:r w:rsidR="008A06B8" w:rsidRPr="004D63C2">
        <w:rPr>
          <w:rFonts w:ascii="Arial" w:hAnsi="Arial" w:cs="Arial"/>
          <w:color w:val="000000" w:themeColor="text1"/>
          <w:sz w:val="20"/>
        </w:rPr>
        <w:t xml:space="preserve"> </w:t>
      </w:r>
      <w:r w:rsidR="004D63C2" w:rsidRPr="004D63C2">
        <w:rPr>
          <w:rFonts w:ascii="Arial" w:hAnsi="Arial" w:cs="Arial"/>
          <w:color w:val="000000" w:themeColor="text1"/>
          <w:sz w:val="20"/>
        </w:rPr>
        <w:t xml:space="preserve">de </w:t>
      </w:r>
      <w:r w:rsidR="008A06B8" w:rsidRPr="004D63C2">
        <w:rPr>
          <w:rFonts w:ascii="Arial" w:hAnsi="Arial" w:cs="Arial"/>
          <w:color w:val="000000" w:themeColor="text1"/>
          <w:sz w:val="20"/>
        </w:rPr>
        <w:t xml:space="preserve">2019 </w:t>
      </w:r>
      <w:r w:rsidR="008A06B8" w:rsidRPr="004D63C2">
        <w:rPr>
          <w:rFonts w:ascii="Arial" w:hAnsi="Arial" w:cs="Arial"/>
          <w:color w:val="000000" w:themeColor="text1"/>
          <w:sz w:val="16"/>
          <w:szCs w:val="16"/>
        </w:rPr>
        <w:t>(Porcentaje).</w:t>
      </w:r>
    </w:p>
    <w:p w:rsidR="008A06B8" w:rsidRPr="00D51297" w:rsidRDefault="008A06B8" w:rsidP="008A06B8">
      <w:pPr>
        <w:rPr>
          <w:rFonts w:ascii="Arial" w:hAnsi="Arial" w:cs="Arial"/>
          <w:sz w:val="18"/>
        </w:rPr>
      </w:pPr>
      <w:r w:rsidRPr="00D51297">
        <w:rPr>
          <w:rFonts w:ascii="Arial" w:hAnsi="Arial" w:cs="Arial"/>
          <w:sz w:val="18"/>
        </w:rPr>
        <w:lastRenderedPageBreak/>
        <w:t>SIMBOLOGIA: 1: Plan anual de adquisiciones y contrataciones del MAG</w:t>
      </w:r>
      <w:r>
        <w:rPr>
          <w:rFonts w:ascii="Arial" w:hAnsi="Arial" w:cs="Arial"/>
          <w:sz w:val="18"/>
        </w:rPr>
        <w:t>, consolidado</w:t>
      </w:r>
      <w:r w:rsidRPr="00D51297">
        <w:rPr>
          <w:rFonts w:ascii="Arial" w:hAnsi="Arial" w:cs="Arial"/>
          <w:sz w:val="18"/>
        </w:rPr>
        <w:t>.; 2: Orden de compra para la adquisición de obras, bienes y servicios para el MAG</w:t>
      </w:r>
      <w:r>
        <w:rPr>
          <w:rFonts w:ascii="Arial" w:hAnsi="Arial" w:cs="Arial"/>
          <w:sz w:val="18"/>
        </w:rPr>
        <w:t>, elaborada</w:t>
      </w:r>
      <w:r w:rsidRPr="00D51297">
        <w:rPr>
          <w:rFonts w:ascii="Arial" w:hAnsi="Arial" w:cs="Arial"/>
          <w:sz w:val="18"/>
        </w:rPr>
        <w:t>.; y, 3: Contratos y/o ordenes de negociación para la adquisición de obras, bienes y servicios para el MAG</w:t>
      </w:r>
      <w:r>
        <w:rPr>
          <w:rFonts w:ascii="Arial" w:hAnsi="Arial" w:cs="Arial"/>
          <w:sz w:val="18"/>
        </w:rPr>
        <w:t>, elaborados</w:t>
      </w:r>
      <w:r w:rsidRPr="00D51297">
        <w:rPr>
          <w:rFonts w:ascii="Arial" w:hAnsi="Arial" w:cs="Arial"/>
          <w:sz w:val="18"/>
        </w:rPr>
        <w:t>.</w:t>
      </w:r>
    </w:p>
    <w:p w:rsidR="008A06B8" w:rsidRDefault="008A06B8" w:rsidP="008A06B8">
      <w:pPr>
        <w:tabs>
          <w:tab w:val="left" w:pos="1276"/>
          <w:tab w:val="left" w:pos="1800"/>
        </w:tabs>
        <w:spacing w:line="216" w:lineRule="auto"/>
        <w:jc w:val="both"/>
        <w:rPr>
          <w:rFonts w:ascii="Arial" w:hAnsi="Arial" w:cs="Arial"/>
          <w:sz w:val="18"/>
        </w:rPr>
      </w:pPr>
      <w:r>
        <w:rPr>
          <w:rFonts w:ascii="Arial" w:hAnsi="Arial" w:cs="Arial"/>
          <w:b/>
          <w:bCs/>
          <w:sz w:val="18"/>
        </w:rPr>
        <w:t>FUENTE: OACI</w:t>
      </w:r>
      <w:r>
        <w:rPr>
          <w:rFonts w:ascii="Arial" w:hAnsi="Arial" w:cs="Arial"/>
          <w:sz w:val="18"/>
        </w:rPr>
        <w:t xml:space="preserve">. Informe de avance físico del </w:t>
      </w:r>
      <w:r w:rsidR="004D63C2">
        <w:rPr>
          <w:rFonts w:ascii="Arial" w:hAnsi="Arial" w:cs="Arial"/>
          <w:sz w:val="18"/>
        </w:rPr>
        <w:t>segundo</w:t>
      </w:r>
      <w:r>
        <w:rPr>
          <w:rFonts w:ascii="Arial" w:hAnsi="Arial" w:cs="Arial"/>
          <w:sz w:val="18"/>
        </w:rPr>
        <w:t xml:space="preserve"> trimestre de 2019. </w:t>
      </w:r>
    </w:p>
    <w:p w:rsidR="008A06B8" w:rsidRDefault="008A06B8" w:rsidP="008A06B8">
      <w:pPr>
        <w:pStyle w:val="Textoindependiente3"/>
        <w:rPr>
          <w:bCs/>
          <w:sz w:val="18"/>
          <w:szCs w:val="18"/>
        </w:rPr>
      </w:pPr>
    </w:p>
    <w:p w:rsidR="008A06B8" w:rsidRPr="00290AC4" w:rsidRDefault="008A06B8" w:rsidP="008A06B8">
      <w:pPr>
        <w:pStyle w:val="Textoindependiente3"/>
        <w:rPr>
          <w:bCs/>
          <w:sz w:val="18"/>
          <w:szCs w:val="18"/>
        </w:rPr>
      </w:pPr>
    </w:p>
    <w:p w:rsidR="008A06B8" w:rsidRDefault="008A06B8" w:rsidP="008A06B8">
      <w:pPr>
        <w:pStyle w:val="Textoindependiente3"/>
      </w:pPr>
      <w:r>
        <w:t>La</w:t>
      </w:r>
      <w:r w:rsidRPr="0017514C">
        <w:t xml:space="preserve">s </w:t>
      </w:r>
      <w:r>
        <w:t>actividades</w:t>
      </w:r>
      <w:r w:rsidR="00AA4F79">
        <w:t xml:space="preserve"> </w:t>
      </w:r>
      <w:r>
        <w:t xml:space="preserve">realizadas </w:t>
      </w:r>
      <w:r w:rsidRPr="0017514C">
        <w:t xml:space="preserve">por la institución en el trimestre </w:t>
      </w:r>
      <w:r w:rsidR="00AA4F79">
        <w:t>abril</w:t>
      </w:r>
      <w:r w:rsidRPr="0017514C">
        <w:t>-</w:t>
      </w:r>
      <w:r w:rsidR="00AA4F79">
        <w:t>junio</w:t>
      </w:r>
      <w:r w:rsidRPr="0017514C">
        <w:t xml:space="preserve"> de 201</w:t>
      </w:r>
      <w:r>
        <w:t>9,</w:t>
      </w:r>
      <w:r w:rsidR="00AA4F79">
        <w:t xml:space="preserve"> </w:t>
      </w:r>
      <w:r>
        <w:t>fueron</w:t>
      </w:r>
      <w:r w:rsidRPr="0017514C">
        <w:t xml:space="preserve">: </w:t>
      </w:r>
    </w:p>
    <w:p w:rsidR="00AA4F79" w:rsidRDefault="00AA4F79" w:rsidP="008A06B8">
      <w:pPr>
        <w:pStyle w:val="Textoindependiente3"/>
      </w:pPr>
    </w:p>
    <w:p w:rsidR="00AA4F79" w:rsidRDefault="00AA4F79" w:rsidP="00AA4F79">
      <w:pPr>
        <w:pStyle w:val="Textoindependiente3"/>
        <w:numPr>
          <w:ilvl w:val="0"/>
          <w:numId w:val="3"/>
        </w:numPr>
        <w:ind w:left="748" w:hanging="391"/>
      </w:pPr>
      <w:r>
        <w:t xml:space="preserve">Elaboración de 12 órdenes de compra para la adquisición de obras, bienes y servicios para el MAG.; </w:t>
      </w:r>
    </w:p>
    <w:p w:rsidR="008A06B8" w:rsidRDefault="008A06B8" w:rsidP="008A06B8">
      <w:pPr>
        <w:pStyle w:val="Textoindependiente3"/>
      </w:pPr>
    </w:p>
    <w:p w:rsidR="00AA4F79" w:rsidRDefault="00AA4F79" w:rsidP="00AA4F79">
      <w:pPr>
        <w:pStyle w:val="Textoindependiente3"/>
        <w:numPr>
          <w:ilvl w:val="0"/>
          <w:numId w:val="3"/>
        </w:numPr>
        <w:ind w:left="748" w:hanging="391"/>
      </w:pPr>
      <w:bookmarkStart w:id="0" w:name="_GoBack"/>
      <w:bookmarkEnd w:id="0"/>
      <w:r>
        <w:t xml:space="preserve">Elaboración de 11 contratos y/o </w:t>
      </w:r>
      <w:r w:rsidR="00AE3A49">
        <w:t>órdenes</w:t>
      </w:r>
      <w:r>
        <w:t xml:space="preserve"> de negociación para la adquisición de obras, bienes y servicios para el MAG. </w:t>
      </w:r>
    </w:p>
    <w:p w:rsidR="00AE3A49" w:rsidRDefault="00AE3A49" w:rsidP="00AE3A49">
      <w:pPr>
        <w:pStyle w:val="Prrafodelista"/>
      </w:pPr>
    </w:p>
    <w:p w:rsidR="00AE3A49" w:rsidRDefault="00AE3A49" w:rsidP="00AE3A49">
      <w:pPr>
        <w:pStyle w:val="Textoindependiente3"/>
      </w:pPr>
    </w:p>
    <w:p w:rsidR="00AA4F79" w:rsidRDefault="00AA4F79" w:rsidP="00AA4F79">
      <w:pPr>
        <w:pStyle w:val="Ttulo9"/>
      </w:pPr>
      <w:r w:rsidRPr="00AE3A49">
        <w:rPr>
          <w:bCs w:val="0"/>
          <w:szCs w:val="22"/>
        </w:rPr>
        <w:t>I</w:t>
      </w:r>
      <w:r w:rsidRPr="00AE3A49">
        <w:t>I</w:t>
      </w:r>
      <w:r>
        <w:t xml:space="preserve">. </w:t>
      </w:r>
      <w:r>
        <w:tab/>
        <w:t xml:space="preserve">AVANCE FISICO EN EL </w:t>
      </w:r>
      <w:r w:rsidR="00AE3A49">
        <w:t>PERIODO ENERO</w:t>
      </w:r>
      <w:r>
        <w:t>-JUNIO DE 2019</w:t>
      </w:r>
      <w:r w:rsidR="00AE3A49">
        <w:t>.</w:t>
      </w:r>
    </w:p>
    <w:p w:rsidR="00AA4F79" w:rsidRDefault="00AA4F79" w:rsidP="00AA4F79">
      <w:pPr>
        <w:jc w:val="both"/>
        <w:rPr>
          <w:rFonts w:ascii="Arial" w:hAnsi="Arial" w:cs="Arial"/>
          <w:bCs/>
          <w:sz w:val="22"/>
        </w:rPr>
      </w:pPr>
    </w:p>
    <w:p w:rsidR="00AA4F79" w:rsidRDefault="00AA4F79" w:rsidP="00AA4F79">
      <w:pPr>
        <w:pStyle w:val="Textoindependiente3"/>
        <w:rPr>
          <w:szCs w:val="24"/>
        </w:rPr>
      </w:pPr>
      <w:r w:rsidRPr="00827C92">
        <w:rPr>
          <w:szCs w:val="24"/>
        </w:rPr>
        <w:t xml:space="preserve">En el </w:t>
      </w:r>
      <w:r w:rsidR="00AE3A49">
        <w:rPr>
          <w:szCs w:val="24"/>
        </w:rPr>
        <w:t>periodo enero-junio</w:t>
      </w:r>
      <w:r w:rsidRPr="00827C92">
        <w:rPr>
          <w:szCs w:val="24"/>
        </w:rPr>
        <w:t xml:space="preserve"> de 201</w:t>
      </w:r>
      <w:r>
        <w:rPr>
          <w:szCs w:val="24"/>
        </w:rPr>
        <w:t>9,</w:t>
      </w:r>
      <w:r w:rsidRPr="00827C92">
        <w:rPr>
          <w:szCs w:val="24"/>
        </w:rPr>
        <w:t xml:space="preserve"> la OA</w:t>
      </w:r>
      <w:r>
        <w:rPr>
          <w:szCs w:val="24"/>
        </w:rPr>
        <w:t xml:space="preserve">CI logró </w:t>
      </w:r>
      <w:r w:rsidRPr="00827C92">
        <w:rPr>
          <w:szCs w:val="24"/>
        </w:rPr>
        <w:t xml:space="preserve">un avance físico de </w:t>
      </w:r>
      <w:r w:rsidR="00AE3A49">
        <w:rPr>
          <w:szCs w:val="24"/>
        </w:rPr>
        <w:t>69</w:t>
      </w:r>
      <w:r w:rsidRPr="00AE3A49">
        <w:rPr>
          <w:b/>
          <w:szCs w:val="24"/>
        </w:rPr>
        <w:t>%,</w:t>
      </w:r>
      <w:r>
        <w:rPr>
          <w:szCs w:val="24"/>
        </w:rPr>
        <w:t xml:space="preserve"> considerado como </w:t>
      </w:r>
      <w:r w:rsidR="00A66FCA">
        <w:rPr>
          <w:szCs w:val="24"/>
        </w:rPr>
        <w:t>Regular</w:t>
      </w:r>
      <w:r>
        <w:rPr>
          <w:szCs w:val="24"/>
        </w:rPr>
        <w:t xml:space="preserve">; el resultado anterior </w:t>
      </w:r>
      <w:r w:rsidRPr="00827C92">
        <w:rPr>
          <w:szCs w:val="24"/>
        </w:rPr>
        <w:t xml:space="preserve">obedece a que de los </w:t>
      </w:r>
      <w:r>
        <w:rPr>
          <w:szCs w:val="24"/>
        </w:rPr>
        <w:t xml:space="preserve">tres </w:t>
      </w:r>
      <w:r w:rsidRPr="00827C92">
        <w:rPr>
          <w:szCs w:val="24"/>
        </w:rPr>
        <w:t xml:space="preserve">Indicadores de Resultados que presentan planificación a cumplir en el referido trimestre, </w:t>
      </w:r>
      <w:r w:rsidR="00AE3A49" w:rsidRPr="00AE3A49">
        <w:rPr>
          <w:b/>
          <w:szCs w:val="24"/>
        </w:rPr>
        <w:t>dos</w:t>
      </w:r>
      <w:r w:rsidR="00AE3A49">
        <w:rPr>
          <w:szCs w:val="24"/>
        </w:rPr>
        <w:t xml:space="preserve"> con cumplimiento total y uno,</w:t>
      </w:r>
      <w:r>
        <w:rPr>
          <w:szCs w:val="24"/>
        </w:rPr>
        <w:t xml:space="preserve"> </w:t>
      </w:r>
      <w:r w:rsidRPr="00827C92">
        <w:rPr>
          <w:szCs w:val="24"/>
        </w:rPr>
        <w:t>report</w:t>
      </w:r>
      <w:r w:rsidR="00AE3A49">
        <w:rPr>
          <w:szCs w:val="24"/>
        </w:rPr>
        <w:t>ó</w:t>
      </w:r>
      <w:r w:rsidRPr="00827C92">
        <w:rPr>
          <w:szCs w:val="24"/>
        </w:rPr>
        <w:t xml:space="preserve"> cumplimiento </w:t>
      </w:r>
      <w:r w:rsidR="00504AFB">
        <w:rPr>
          <w:szCs w:val="24"/>
        </w:rPr>
        <w:t>parcial.</w:t>
      </w:r>
    </w:p>
    <w:p w:rsidR="00AE3A49" w:rsidRDefault="00AE3A49" w:rsidP="00AA4F79">
      <w:pPr>
        <w:pStyle w:val="Textoindependiente3"/>
        <w:rPr>
          <w:szCs w:val="24"/>
        </w:rPr>
      </w:pPr>
    </w:p>
    <w:p w:rsidR="00AA4F79" w:rsidRPr="004D63C2" w:rsidRDefault="00AA4F79" w:rsidP="00AA4F79">
      <w:pPr>
        <w:spacing w:line="216" w:lineRule="auto"/>
        <w:ind w:left="1410" w:hanging="1410"/>
        <w:rPr>
          <w:rFonts w:ascii="Arial" w:hAnsi="Arial" w:cs="Arial"/>
          <w:color w:val="000000" w:themeColor="text1"/>
          <w:sz w:val="16"/>
          <w:szCs w:val="16"/>
        </w:rPr>
      </w:pPr>
      <w:r w:rsidRPr="004D63C2">
        <w:rPr>
          <w:rFonts w:ascii="Arial" w:hAnsi="Arial" w:cs="Arial"/>
          <w:bCs/>
          <w:noProof/>
          <w:color w:val="000000" w:themeColor="text1"/>
          <w:sz w:val="20"/>
          <w:lang w:val="es-SV" w:eastAsia="es-SV"/>
        </w:rPr>
        <w:drawing>
          <wp:anchor distT="0" distB="0" distL="114300" distR="114300" simplePos="0" relativeHeight="251661312" behindDoc="0" locked="0" layoutInCell="1" allowOverlap="1">
            <wp:simplePos x="0" y="0"/>
            <wp:positionH relativeFrom="column">
              <wp:posOffset>3175</wp:posOffset>
            </wp:positionH>
            <wp:positionV relativeFrom="paragraph">
              <wp:posOffset>185420</wp:posOffset>
            </wp:positionV>
            <wp:extent cx="5730240" cy="2047875"/>
            <wp:effectExtent l="19050" t="0" r="22860" b="0"/>
            <wp:wrapTopAndBottom/>
            <wp:docPr id="2"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sidRPr="004D63C2">
        <w:rPr>
          <w:rFonts w:ascii="Arial" w:hAnsi="Arial" w:cs="Arial"/>
          <w:bCs/>
          <w:color w:val="000000" w:themeColor="text1"/>
          <w:sz w:val="20"/>
        </w:rPr>
        <w:t>Gráfico 1.</w:t>
      </w:r>
      <w:r w:rsidRPr="004D63C2">
        <w:rPr>
          <w:rFonts w:ascii="Arial" w:hAnsi="Arial" w:cs="Arial"/>
          <w:color w:val="000000" w:themeColor="text1"/>
          <w:sz w:val="20"/>
        </w:rPr>
        <w:t xml:space="preserve"> </w:t>
      </w:r>
      <w:r w:rsidRPr="004D63C2">
        <w:rPr>
          <w:rFonts w:ascii="Arial" w:hAnsi="Arial" w:cs="Arial"/>
          <w:color w:val="000000" w:themeColor="text1"/>
          <w:sz w:val="16"/>
          <w:szCs w:val="16"/>
        </w:rPr>
        <w:t xml:space="preserve">Avance físico por Indicador de Producto y Total Institución en el </w:t>
      </w:r>
      <w:r w:rsidR="00233DDB">
        <w:rPr>
          <w:rFonts w:ascii="Arial" w:hAnsi="Arial" w:cs="Arial"/>
          <w:color w:val="000000" w:themeColor="text1"/>
          <w:sz w:val="16"/>
          <w:szCs w:val="16"/>
        </w:rPr>
        <w:t>periodo enero</w:t>
      </w:r>
      <w:r w:rsidRPr="004D63C2">
        <w:rPr>
          <w:rFonts w:ascii="Arial" w:hAnsi="Arial" w:cs="Arial"/>
          <w:color w:val="000000" w:themeColor="text1"/>
          <w:sz w:val="16"/>
          <w:szCs w:val="16"/>
        </w:rPr>
        <w:t>-junio</w:t>
      </w:r>
      <w:r w:rsidRPr="004D63C2">
        <w:rPr>
          <w:rFonts w:ascii="Arial" w:hAnsi="Arial" w:cs="Arial"/>
          <w:color w:val="000000" w:themeColor="text1"/>
          <w:sz w:val="20"/>
        </w:rPr>
        <w:t xml:space="preserve"> de 2019 </w:t>
      </w:r>
      <w:r w:rsidRPr="004D63C2">
        <w:rPr>
          <w:rFonts w:ascii="Arial" w:hAnsi="Arial" w:cs="Arial"/>
          <w:color w:val="000000" w:themeColor="text1"/>
          <w:sz w:val="16"/>
          <w:szCs w:val="16"/>
        </w:rPr>
        <w:t>(Porcentaje).</w:t>
      </w:r>
    </w:p>
    <w:p w:rsidR="00AA4F79" w:rsidRPr="00D51297" w:rsidRDefault="00AA4F79" w:rsidP="00AA4F79">
      <w:pPr>
        <w:rPr>
          <w:rFonts w:ascii="Arial" w:hAnsi="Arial" w:cs="Arial"/>
          <w:sz w:val="18"/>
        </w:rPr>
      </w:pPr>
      <w:r w:rsidRPr="00D51297">
        <w:rPr>
          <w:rFonts w:ascii="Arial" w:hAnsi="Arial" w:cs="Arial"/>
          <w:sz w:val="18"/>
        </w:rPr>
        <w:t>SIMBOLOGIA: 1: Plan anual de adquisiciones y contrataciones del MAG</w:t>
      </w:r>
      <w:r>
        <w:rPr>
          <w:rFonts w:ascii="Arial" w:hAnsi="Arial" w:cs="Arial"/>
          <w:sz w:val="18"/>
        </w:rPr>
        <w:t>, consolidado</w:t>
      </w:r>
      <w:r w:rsidRPr="00D51297">
        <w:rPr>
          <w:rFonts w:ascii="Arial" w:hAnsi="Arial" w:cs="Arial"/>
          <w:sz w:val="18"/>
        </w:rPr>
        <w:t>.; 2: Orden de compra para la adquisición de obras, bienes y servicios para el MAG</w:t>
      </w:r>
      <w:r>
        <w:rPr>
          <w:rFonts w:ascii="Arial" w:hAnsi="Arial" w:cs="Arial"/>
          <w:sz w:val="18"/>
        </w:rPr>
        <w:t>, elaborada</w:t>
      </w:r>
      <w:r w:rsidRPr="00D51297">
        <w:rPr>
          <w:rFonts w:ascii="Arial" w:hAnsi="Arial" w:cs="Arial"/>
          <w:sz w:val="18"/>
        </w:rPr>
        <w:t>.; y, 3: Contratos y/o ordenes de negociación para la adquisición de obras, bienes y servicios para el MAG</w:t>
      </w:r>
      <w:r>
        <w:rPr>
          <w:rFonts w:ascii="Arial" w:hAnsi="Arial" w:cs="Arial"/>
          <w:sz w:val="18"/>
        </w:rPr>
        <w:t>, elaborados</w:t>
      </w:r>
      <w:r w:rsidRPr="00D51297">
        <w:rPr>
          <w:rFonts w:ascii="Arial" w:hAnsi="Arial" w:cs="Arial"/>
          <w:sz w:val="18"/>
        </w:rPr>
        <w:t>.</w:t>
      </w:r>
    </w:p>
    <w:p w:rsidR="00AA4F79" w:rsidRDefault="00AA4F79" w:rsidP="00AA4F79">
      <w:pPr>
        <w:tabs>
          <w:tab w:val="left" w:pos="1276"/>
          <w:tab w:val="left" w:pos="1800"/>
        </w:tabs>
        <w:spacing w:line="216" w:lineRule="auto"/>
        <w:jc w:val="both"/>
        <w:rPr>
          <w:rFonts w:ascii="Arial" w:hAnsi="Arial" w:cs="Arial"/>
          <w:sz w:val="18"/>
        </w:rPr>
      </w:pPr>
      <w:r>
        <w:rPr>
          <w:rFonts w:ascii="Arial" w:hAnsi="Arial" w:cs="Arial"/>
          <w:b/>
          <w:bCs/>
          <w:sz w:val="18"/>
        </w:rPr>
        <w:t>FUENTE: OACI</w:t>
      </w:r>
      <w:r>
        <w:rPr>
          <w:rFonts w:ascii="Arial" w:hAnsi="Arial" w:cs="Arial"/>
          <w:sz w:val="18"/>
        </w:rPr>
        <w:t xml:space="preserve">. Informe de avance físico del segundo trimestre de 2019. </w:t>
      </w:r>
    </w:p>
    <w:p w:rsidR="00AA4F79" w:rsidRDefault="00AA4F79" w:rsidP="00AA4F79">
      <w:pPr>
        <w:pStyle w:val="Textoindependiente3"/>
        <w:rPr>
          <w:bCs/>
          <w:sz w:val="18"/>
          <w:szCs w:val="18"/>
        </w:rPr>
      </w:pPr>
    </w:p>
    <w:p w:rsidR="00AA4F79" w:rsidRPr="00290AC4" w:rsidRDefault="00AA4F79" w:rsidP="00AA4F79">
      <w:pPr>
        <w:pStyle w:val="Textoindependiente3"/>
        <w:rPr>
          <w:bCs/>
          <w:sz w:val="18"/>
          <w:szCs w:val="18"/>
        </w:rPr>
      </w:pPr>
    </w:p>
    <w:p w:rsidR="00AA4F79" w:rsidRDefault="00AA4F79" w:rsidP="00AA4F79">
      <w:pPr>
        <w:pStyle w:val="Textoindependiente3"/>
      </w:pPr>
      <w:r>
        <w:t>La</w:t>
      </w:r>
      <w:r w:rsidRPr="0017514C">
        <w:t xml:space="preserve">s </w:t>
      </w:r>
      <w:r>
        <w:t xml:space="preserve">actividades realizadas </w:t>
      </w:r>
      <w:r w:rsidRPr="0017514C">
        <w:t xml:space="preserve">por la institución en el </w:t>
      </w:r>
      <w:r w:rsidR="00A66FCA">
        <w:t>periodo</w:t>
      </w:r>
      <w:r w:rsidRPr="0017514C">
        <w:t xml:space="preserve"> </w:t>
      </w:r>
      <w:r w:rsidR="00A66FCA">
        <w:t>enero</w:t>
      </w:r>
      <w:r w:rsidRPr="0017514C">
        <w:t>-</w:t>
      </w:r>
      <w:r>
        <w:t>junio</w:t>
      </w:r>
      <w:r w:rsidRPr="0017514C">
        <w:t xml:space="preserve"> de 201</w:t>
      </w:r>
      <w:r>
        <w:t>9, fueron</w:t>
      </w:r>
      <w:r w:rsidRPr="0017514C">
        <w:t xml:space="preserve">: </w:t>
      </w:r>
    </w:p>
    <w:p w:rsidR="005D6CC3" w:rsidRDefault="005D6CC3" w:rsidP="00AA4F79">
      <w:pPr>
        <w:pStyle w:val="Textoindependiente3"/>
      </w:pPr>
    </w:p>
    <w:p w:rsidR="005D6CC3" w:rsidRPr="00A66FCA" w:rsidRDefault="00A66FCA" w:rsidP="00A66FCA">
      <w:pPr>
        <w:pStyle w:val="Textoindependiente3"/>
        <w:numPr>
          <w:ilvl w:val="0"/>
          <w:numId w:val="8"/>
        </w:numPr>
      </w:pPr>
      <w:r>
        <w:t>P</w:t>
      </w:r>
      <w:r w:rsidRPr="00A66FCA">
        <w:t>lan anual de adquisiciones y contrataciones del MAG, consolidado</w:t>
      </w:r>
    </w:p>
    <w:p w:rsidR="005D6CC3" w:rsidRDefault="005D6CC3" w:rsidP="00AA4F79">
      <w:pPr>
        <w:pStyle w:val="Textoindependiente3"/>
      </w:pPr>
    </w:p>
    <w:p w:rsidR="005D6CC3" w:rsidRDefault="005D6CC3" w:rsidP="00A66FCA">
      <w:pPr>
        <w:pStyle w:val="Textoindependiente3"/>
        <w:numPr>
          <w:ilvl w:val="0"/>
          <w:numId w:val="8"/>
        </w:numPr>
      </w:pPr>
      <w:r>
        <w:t>Elaboración de</w:t>
      </w:r>
      <w:r w:rsidR="00A66FCA">
        <w:t xml:space="preserve"> 13</w:t>
      </w:r>
      <w:r>
        <w:t xml:space="preserve"> órdenes de compra para la adquisición de obras, bienes y servicios para el MAG.; </w:t>
      </w:r>
    </w:p>
    <w:p w:rsidR="00A66FCA" w:rsidRDefault="00A66FCA" w:rsidP="00A66FCA">
      <w:pPr>
        <w:pStyle w:val="Textoindependiente3"/>
      </w:pPr>
    </w:p>
    <w:p w:rsidR="00A66FCA" w:rsidRDefault="00A66FCA" w:rsidP="00A66FCA">
      <w:pPr>
        <w:pStyle w:val="Textoindependiente3"/>
        <w:numPr>
          <w:ilvl w:val="0"/>
          <w:numId w:val="8"/>
        </w:numPr>
      </w:pPr>
      <w:r>
        <w:t xml:space="preserve">Elaboración de 189 contratos y/o órdenes de negociación para la adquisición de obras, bienes y servicios para el MAG. </w:t>
      </w:r>
    </w:p>
    <w:p w:rsidR="005D6CC3" w:rsidRDefault="005D6CC3" w:rsidP="00A66FCA">
      <w:pPr>
        <w:pStyle w:val="Textoindependiente3"/>
        <w:ind w:left="360"/>
      </w:pPr>
    </w:p>
    <w:p w:rsidR="00C62678" w:rsidRDefault="00C62678" w:rsidP="008A06B8">
      <w:pPr>
        <w:pStyle w:val="Textoindependiente3"/>
        <w:spacing w:line="276" w:lineRule="auto"/>
        <w:rPr>
          <w:b/>
          <w:szCs w:val="24"/>
        </w:rPr>
      </w:pPr>
    </w:p>
    <w:p w:rsidR="00C62678" w:rsidRDefault="00C62678" w:rsidP="008A06B8">
      <w:pPr>
        <w:pStyle w:val="Textoindependiente3"/>
        <w:spacing w:line="276" w:lineRule="auto"/>
        <w:rPr>
          <w:b/>
          <w:szCs w:val="24"/>
        </w:rPr>
      </w:pPr>
    </w:p>
    <w:p w:rsidR="00C62678" w:rsidRDefault="00C62678" w:rsidP="008A06B8">
      <w:pPr>
        <w:pStyle w:val="Textoindependiente3"/>
        <w:spacing w:line="276" w:lineRule="auto"/>
        <w:rPr>
          <w:b/>
          <w:szCs w:val="24"/>
        </w:rPr>
      </w:pPr>
    </w:p>
    <w:p w:rsidR="00C62678" w:rsidRDefault="00C62678" w:rsidP="008A06B8">
      <w:pPr>
        <w:pStyle w:val="Textoindependiente3"/>
        <w:spacing w:line="276" w:lineRule="auto"/>
        <w:rPr>
          <w:b/>
          <w:szCs w:val="24"/>
        </w:rPr>
      </w:pPr>
    </w:p>
    <w:p w:rsidR="00AA4A52" w:rsidRDefault="00AA4A52" w:rsidP="008A06B8">
      <w:pPr>
        <w:pStyle w:val="Textoindependiente3"/>
        <w:spacing w:line="276" w:lineRule="auto"/>
        <w:rPr>
          <w:b/>
          <w:szCs w:val="24"/>
        </w:rPr>
      </w:pPr>
    </w:p>
    <w:p w:rsidR="008A06B8" w:rsidRDefault="00C62678" w:rsidP="008A06B8">
      <w:pPr>
        <w:pStyle w:val="Textoindependiente3"/>
        <w:spacing w:line="276" w:lineRule="auto"/>
        <w:rPr>
          <w:b/>
          <w:szCs w:val="24"/>
        </w:rPr>
      </w:pPr>
      <w:r w:rsidRPr="00C62678">
        <w:rPr>
          <w:b/>
          <w:szCs w:val="24"/>
        </w:rPr>
        <w:lastRenderedPageBreak/>
        <w:t>III.   CONCLUCIONES Y RECOMENDACIONES</w:t>
      </w:r>
    </w:p>
    <w:p w:rsidR="00C62678" w:rsidRPr="00C62678" w:rsidRDefault="00C62678" w:rsidP="008A06B8">
      <w:pPr>
        <w:pStyle w:val="Textoindependiente3"/>
        <w:spacing w:line="276" w:lineRule="auto"/>
        <w:rPr>
          <w:b/>
          <w:szCs w:val="24"/>
        </w:rPr>
      </w:pPr>
    </w:p>
    <w:p w:rsidR="008A06B8" w:rsidRPr="00921912" w:rsidRDefault="00D76F2E" w:rsidP="008A06B8">
      <w:pPr>
        <w:pStyle w:val="Textoindependiente3"/>
        <w:spacing w:line="276" w:lineRule="auto"/>
        <w:rPr>
          <w:color w:val="000000" w:themeColor="text1"/>
          <w:szCs w:val="24"/>
        </w:rPr>
      </w:pPr>
      <w:r w:rsidRPr="00921912">
        <w:rPr>
          <w:color w:val="000000" w:themeColor="text1"/>
          <w:szCs w:val="24"/>
        </w:rPr>
        <w:t>Se puede concluir que e</w:t>
      </w:r>
      <w:r w:rsidR="008A06B8" w:rsidRPr="00921912">
        <w:rPr>
          <w:color w:val="000000" w:themeColor="text1"/>
          <w:szCs w:val="24"/>
        </w:rPr>
        <w:t>l nivel de cumplimient</w:t>
      </w:r>
      <w:r w:rsidRPr="00921912">
        <w:rPr>
          <w:color w:val="000000" w:themeColor="text1"/>
          <w:szCs w:val="24"/>
        </w:rPr>
        <w:t>o de metas global de la OACI, ha sido afectado por una</w:t>
      </w:r>
      <w:r w:rsidR="008A06B8" w:rsidRPr="00921912">
        <w:rPr>
          <w:color w:val="000000" w:themeColor="text1"/>
          <w:szCs w:val="24"/>
        </w:rPr>
        <w:t xml:space="preserve"> menor demanda de órdenes de compra para la adquisición de obras, bienes y servicios de parte de las dependencias</w:t>
      </w:r>
      <w:r w:rsidR="00016836" w:rsidRPr="00921912">
        <w:rPr>
          <w:color w:val="000000" w:themeColor="text1"/>
          <w:szCs w:val="24"/>
        </w:rPr>
        <w:t xml:space="preserve"> del MAG y la realización de contratos.</w:t>
      </w:r>
    </w:p>
    <w:p w:rsidR="00504AFB" w:rsidRPr="00921912" w:rsidRDefault="00504AFB" w:rsidP="008A06B8">
      <w:pPr>
        <w:pStyle w:val="Textoindependiente3"/>
        <w:spacing w:line="276" w:lineRule="auto"/>
        <w:rPr>
          <w:color w:val="000000" w:themeColor="text1"/>
          <w:szCs w:val="24"/>
        </w:rPr>
      </w:pPr>
    </w:p>
    <w:p w:rsidR="00504AFB" w:rsidRPr="00921912" w:rsidRDefault="00D76F2E" w:rsidP="00504AFB">
      <w:pPr>
        <w:pStyle w:val="Textoindependiente3"/>
        <w:rPr>
          <w:color w:val="000000" w:themeColor="text1"/>
          <w:szCs w:val="24"/>
        </w:rPr>
      </w:pPr>
      <w:r w:rsidRPr="00921912">
        <w:rPr>
          <w:color w:val="000000" w:themeColor="text1"/>
          <w:szCs w:val="24"/>
        </w:rPr>
        <w:t>Que el nivel de</w:t>
      </w:r>
      <w:r w:rsidR="00504AFB" w:rsidRPr="00921912">
        <w:rPr>
          <w:color w:val="000000" w:themeColor="text1"/>
          <w:szCs w:val="24"/>
        </w:rPr>
        <w:t xml:space="preserve"> cumplimiento de metas del indicador “</w:t>
      </w:r>
      <w:r w:rsidR="00504AFB" w:rsidRPr="00921912">
        <w:rPr>
          <w:i/>
          <w:color w:val="000000" w:themeColor="text1"/>
          <w:szCs w:val="24"/>
        </w:rPr>
        <w:t>Orden de compra para la adquisición de obras, bienes y servicios para el MAG, elaborada</w:t>
      </w:r>
      <w:r w:rsidRPr="00921912">
        <w:rPr>
          <w:color w:val="000000" w:themeColor="text1"/>
          <w:szCs w:val="24"/>
        </w:rPr>
        <w:t>”, presenta una ponderación de</w:t>
      </w:r>
      <w:r w:rsidR="00504AFB" w:rsidRPr="00921912">
        <w:rPr>
          <w:color w:val="000000" w:themeColor="text1"/>
          <w:szCs w:val="24"/>
        </w:rPr>
        <w:t xml:space="preserve"> ejecuci</w:t>
      </w:r>
      <w:r w:rsidRPr="00921912">
        <w:rPr>
          <w:color w:val="000000" w:themeColor="text1"/>
          <w:szCs w:val="24"/>
        </w:rPr>
        <w:t>ón baja</w:t>
      </w:r>
      <w:r w:rsidR="00504AFB" w:rsidRPr="00921912">
        <w:rPr>
          <w:color w:val="000000" w:themeColor="text1"/>
          <w:szCs w:val="24"/>
        </w:rPr>
        <w:t xml:space="preserve"> (</w:t>
      </w:r>
      <w:r w:rsidR="005D6CC3" w:rsidRPr="00921912">
        <w:rPr>
          <w:color w:val="000000" w:themeColor="text1"/>
          <w:szCs w:val="24"/>
        </w:rPr>
        <w:t>32</w:t>
      </w:r>
      <w:r w:rsidR="00504AFB" w:rsidRPr="00921912">
        <w:rPr>
          <w:color w:val="000000" w:themeColor="text1"/>
          <w:szCs w:val="24"/>
        </w:rPr>
        <w:t>.</w:t>
      </w:r>
      <w:r w:rsidR="005D6CC3" w:rsidRPr="00921912">
        <w:rPr>
          <w:color w:val="000000" w:themeColor="text1"/>
          <w:szCs w:val="24"/>
        </w:rPr>
        <w:t>5</w:t>
      </w:r>
      <w:r w:rsidR="00504AFB" w:rsidRPr="00921912">
        <w:rPr>
          <w:color w:val="000000" w:themeColor="text1"/>
          <w:szCs w:val="24"/>
        </w:rPr>
        <w:t>%) debido a que la meta está sujeta a demanda de los requerimientos de las unidades solicitantes</w:t>
      </w:r>
      <w:r w:rsidR="00722BD1" w:rsidRPr="00921912">
        <w:rPr>
          <w:color w:val="000000" w:themeColor="text1"/>
          <w:szCs w:val="24"/>
        </w:rPr>
        <w:t>.</w:t>
      </w:r>
    </w:p>
    <w:p w:rsidR="00504AFB" w:rsidRPr="00921912" w:rsidRDefault="00504AFB" w:rsidP="00504AFB">
      <w:pPr>
        <w:spacing w:line="216" w:lineRule="auto"/>
        <w:ind w:left="1410" w:hanging="1410"/>
        <w:rPr>
          <w:rFonts w:ascii="Arial" w:hAnsi="Arial" w:cs="Arial"/>
          <w:bCs/>
          <w:color w:val="000000" w:themeColor="text1"/>
          <w:sz w:val="20"/>
        </w:rPr>
      </w:pPr>
    </w:p>
    <w:p w:rsidR="008A06B8" w:rsidRPr="00921912" w:rsidRDefault="008A06B8" w:rsidP="008A06B8">
      <w:pPr>
        <w:pStyle w:val="Textoindependiente3"/>
        <w:spacing w:line="276" w:lineRule="auto"/>
        <w:rPr>
          <w:color w:val="000000" w:themeColor="text1"/>
          <w:szCs w:val="24"/>
        </w:rPr>
      </w:pPr>
    </w:p>
    <w:p w:rsidR="008A06B8" w:rsidRPr="00921912" w:rsidRDefault="008A06B8" w:rsidP="008A06B8">
      <w:pPr>
        <w:pStyle w:val="Textoindependiente3"/>
        <w:spacing w:line="276" w:lineRule="auto"/>
        <w:rPr>
          <w:color w:val="000000" w:themeColor="text1"/>
          <w:szCs w:val="24"/>
        </w:rPr>
      </w:pPr>
      <w:r w:rsidRPr="00921912">
        <w:rPr>
          <w:color w:val="000000" w:themeColor="text1"/>
          <w:szCs w:val="24"/>
        </w:rPr>
        <w:t>Se recomienda analizar los resultados de</w:t>
      </w:r>
      <w:r w:rsidR="00AA4F79" w:rsidRPr="00921912">
        <w:rPr>
          <w:color w:val="000000" w:themeColor="text1"/>
          <w:szCs w:val="24"/>
        </w:rPr>
        <w:t xml:space="preserve"> los</w:t>
      </w:r>
      <w:r w:rsidRPr="00921912">
        <w:rPr>
          <w:color w:val="000000" w:themeColor="text1"/>
          <w:szCs w:val="24"/>
        </w:rPr>
        <w:t xml:space="preserve"> indicador</w:t>
      </w:r>
      <w:r w:rsidR="00AA4F79" w:rsidRPr="00921912">
        <w:rPr>
          <w:color w:val="000000" w:themeColor="text1"/>
          <w:szCs w:val="24"/>
        </w:rPr>
        <w:t>es</w:t>
      </w:r>
      <w:r w:rsidRPr="00921912">
        <w:rPr>
          <w:color w:val="000000" w:themeColor="text1"/>
          <w:szCs w:val="24"/>
        </w:rPr>
        <w:t xml:space="preserve"> N° 2 </w:t>
      </w:r>
      <w:r w:rsidR="00AA4F79" w:rsidRPr="00921912">
        <w:rPr>
          <w:color w:val="000000" w:themeColor="text1"/>
          <w:szCs w:val="24"/>
        </w:rPr>
        <w:t xml:space="preserve">y 3 </w:t>
      </w:r>
      <w:r w:rsidRPr="00921912">
        <w:rPr>
          <w:color w:val="000000" w:themeColor="text1"/>
          <w:szCs w:val="24"/>
        </w:rPr>
        <w:t>del gráfico, y con base a esto, considerar la pertinencia de</w:t>
      </w:r>
      <w:r w:rsidR="00D76F2E" w:rsidRPr="00921912">
        <w:rPr>
          <w:color w:val="000000" w:themeColor="text1"/>
          <w:szCs w:val="24"/>
        </w:rPr>
        <w:t xml:space="preserve"> implementar una estrategia de cumplimiento o</w:t>
      </w:r>
      <w:r w:rsidRPr="00921912">
        <w:rPr>
          <w:color w:val="000000" w:themeColor="text1"/>
          <w:szCs w:val="24"/>
        </w:rPr>
        <w:t xml:space="preserve"> hacer </w:t>
      </w:r>
      <w:r w:rsidR="00D76F2E" w:rsidRPr="00921912">
        <w:rPr>
          <w:color w:val="000000" w:themeColor="text1"/>
          <w:szCs w:val="24"/>
        </w:rPr>
        <w:t xml:space="preserve">solicitud de </w:t>
      </w:r>
      <w:r w:rsidRPr="00921912">
        <w:rPr>
          <w:color w:val="000000" w:themeColor="text1"/>
          <w:szCs w:val="24"/>
        </w:rPr>
        <w:t>ajustes mediante una reprogramación.</w:t>
      </w:r>
    </w:p>
    <w:p w:rsidR="00D76F2E" w:rsidRPr="00921912" w:rsidRDefault="00D76F2E" w:rsidP="008A06B8">
      <w:pPr>
        <w:pStyle w:val="Textoindependiente3"/>
        <w:spacing w:line="276" w:lineRule="auto"/>
        <w:rPr>
          <w:color w:val="000000" w:themeColor="text1"/>
          <w:szCs w:val="24"/>
        </w:rPr>
      </w:pPr>
    </w:p>
    <w:p w:rsidR="00D76F2E" w:rsidRPr="00921912" w:rsidRDefault="00D76F2E" w:rsidP="008A06B8">
      <w:pPr>
        <w:pStyle w:val="Textoindependiente3"/>
        <w:spacing w:line="276" w:lineRule="auto"/>
        <w:rPr>
          <w:color w:val="000000" w:themeColor="text1"/>
          <w:szCs w:val="24"/>
        </w:rPr>
      </w:pPr>
      <w:r w:rsidRPr="00921912">
        <w:rPr>
          <w:color w:val="000000" w:themeColor="text1"/>
          <w:szCs w:val="24"/>
        </w:rPr>
        <w:t>Evaluar con el equipo de verificacion de la DISE, el nivel de cumplimiento del PAO 2019</w:t>
      </w:r>
      <w:r w:rsidR="00F3618B" w:rsidRPr="00921912">
        <w:rPr>
          <w:color w:val="000000" w:themeColor="text1"/>
          <w:szCs w:val="24"/>
        </w:rPr>
        <w:t>,</w:t>
      </w:r>
      <w:r w:rsidRPr="00921912">
        <w:rPr>
          <w:color w:val="000000" w:themeColor="text1"/>
          <w:szCs w:val="24"/>
        </w:rPr>
        <w:t xml:space="preserve"> </w:t>
      </w:r>
      <w:r w:rsidR="00921912" w:rsidRPr="00921912">
        <w:rPr>
          <w:color w:val="000000" w:themeColor="text1"/>
          <w:szCs w:val="24"/>
        </w:rPr>
        <w:t>sus</w:t>
      </w:r>
      <w:r w:rsidRPr="00921912">
        <w:rPr>
          <w:color w:val="000000" w:themeColor="text1"/>
          <w:szCs w:val="24"/>
        </w:rPr>
        <w:t xml:space="preserve"> evidencias </w:t>
      </w:r>
      <w:r w:rsidR="00F3618B" w:rsidRPr="00921912">
        <w:rPr>
          <w:color w:val="000000" w:themeColor="text1"/>
          <w:szCs w:val="24"/>
        </w:rPr>
        <w:t>disponibles</w:t>
      </w:r>
      <w:r w:rsidR="00921912" w:rsidRPr="00921912">
        <w:rPr>
          <w:color w:val="000000" w:themeColor="text1"/>
          <w:szCs w:val="24"/>
        </w:rPr>
        <w:t>.</w:t>
      </w:r>
    </w:p>
    <w:p w:rsidR="008A06B8" w:rsidRPr="00921912" w:rsidRDefault="008A06B8" w:rsidP="008A06B8">
      <w:pPr>
        <w:pStyle w:val="Textoindependiente3"/>
        <w:spacing w:line="276" w:lineRule="auto"/>
        <w:rPr>
          <w:color w:val="000000" w:themeColor="text1"/>
          <w:szCs w:val="24"/>
        </w:rPr>
      </w:pPr>
    </w:p>
    <w:p w:rsidR="008A06B8" w:rsidRPr="00921912" w:rsidRDefault="008A06B8" w:rsidP="008A06B8">
      <w:pPr>
        <w:pStyle w:val="Textoindependiente3"/>
        <w:spacing w:line="276" w:lineRule="auto"/>
        <w:rPr>
          <w:color w:val="000000" w:themeColor="text1"/>
          <w:szCs w:val="24"/>
        </w:rPr>
      </w:pPr>
      <w:r w:rsidRPr="00921912">
        <w:rPr>
          <w:color w:val="000000" w:themeColor="text1"/>
          <w:szCs w:val="24"/>
        </w:rPr>
        <w:t>De igual manera, se recuerda que los productos reportados como realizados deben estar documentados con las evidencias de su efectiva realización, con el propósito de evitar hallazgos de auditoría por parte de los entes contralores del Estado.</w:t>
      </w:r>
    </w:p>
    <w:p w:rsidR="008A06B8" w:rsidRPr="00921912" w:rsidRDefault="008A06B8" w:rsidP="008A06B8">
      <w:pPr>
        <w:jc w:val="both"/>
        <w:rPr>
          <w:rFonts w:ascii="Arial" w:hAnsi="Arial" w:cs="Arial"/>
          <w:color w:val="000000" w:themeColor="text1"/>
          <w:sz w:val="22"/>
        </w:rPr>
      </w:pPr>
    </w:p>
    <w:p w:rsidR="00AA4F79" w:rsidRPr="00921912" w:rsidRDefault="00AA4F79" w:rsidP="008A06B8">
      <w:pPr>
        <w:jc w:val="both"/>
        <w:rPr>
          <w:rFonts w:ascii="Arial" w:hAnsi="Arial" w:cs="Arial"/>
          <w:color w:val="000000" w:themeColor="text1"/>
          <w:sz w:val="22"/>
        </w:rPr>
      </w:pPr>
    </w:p>
    <w:p w:rsidR="00AA4F79" w:rsidRPr="00921912" w:rsidRDefault="00AA4F79" w:rsidP="008A06B8">
      <w:pPr>
        <w:jc w:val="both"/>
        <w:rPr>
          <w:rFonts w:ascii="Arial" w:hAnsi="Arial" w:cs="Arial"/>
          <w:color w:val="000000" w:themeColor="text1"/>
          <w:sz w:val="22"/>
        </w:rPr>
      </w:pPr>
    </w:p>
    <w:p w:rsidR="008A06B8" w:rsidRPr="0007349D" w:rsidRDefault="008A06B8" w:rsidP="008A06B8">
      <w:pPr>
        <w:ind w:left="851" w:hanging="851"/>
        <w:jc w:val="both"/>
        <w:rPr>
          <w:rFonts w:ascii="Arial" w:hAnsi="Arial" w:cs="Arial"/>
          <w:sz w:val="20"/>
          <w:szCs w:val="22"/>
        </w:rPr>
      </w:pPr>
      <w:r w:rsidRPr="0007349D">
        <w:rPr>
          <w:rFonts w:ascii="Arial" w:hAnsi="Arial" w:cs="Arial"/>
          <w:b/>
          <w:sz w:val="20"/>
          <w:szCs w:val="22"/>
        </w:rPr>
        <w:t xml:space="preserve">Anexo </w:t>
      </w:r>
      <w:r w:rsidRPr="0007349D">
        <w:rPr>
          <w:rFonts w:ascii="Arial" w:hAnsi="Arial" w:cs="Arial"/>
          <w:b/>
          <w:sz w:val="20"/>
          <w:szCs w:val="22"/>
        </w:rPr>
        <w:tab/>
      </w:r>
      <w:r w:rsidRPr="0007349D">
        <w:rPr>
          <w:rFonts w:ascii="Arial" w:hAnsi="Arial" w:cs="Arial"/>
          <w:sz w:val="20"/>
          <w:szCs w:val="22"/>
        </w:rPr>
        <w:t xml:space="preserve">Avance físico y Valoración Cualitativa en porcentaje en el </w:t>
      </w:r>
      <w:r w:rsidR="00AA4F79">
        <w:rPr>
          <w:rFonts w:ascii="Arial" w:hAnsi="Arial" w:cs="Arial"/>
          <w:sz w:val="20"/>
          <w:szCs w:val="22"/>
        </w:rPr>
        <w:t>segundo</w:t>
      </w:r>
      <w:r w:rsidRPr="0007349D">
        <w:rPr>
          <w:rFonts w:ascii="Arial" w:hAnsi="Arial" w:cs="Arial"/>
          <w:sz w:val="20"/>
          <w:szCs w:val="22"/>
        </w:rPr>
        <w:t xml:space="preserve"> trimestre de 2019, según Resultado.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3"/>
        <w:gridCol w:w="5003"/>
        <w:gridCol w:w="1660"/>
        <w:gridCol w:w="69"/>
        <w:gridCol w:w="1729"/>
      </w:tblGrid>
      <w:tr w:rsidR="00DC360D" w:rsidTr="008A4F63">
        <w:trPr>
          <w:cantSplit/>
          <w:trHeight w:val="390"/>
          <w:jc w:val="center"/>
        </w:trPr>
        <w:tc>
          <w:tcPr>
            <w:tcW w:w="0" w:type="auto"/>
            <w:vMerge w:val="restart"/>
            <w:tcBorders>
              <w:top w:val="double" w:sz="4" w:space="0" w:color="auto"/>
              <w:left w:val="double" w:sz="4" w:space="0" w:color="auto"/>
              <w:bottom w:val="single" w:sz="6" w:space="0" w:color="auto"/>
              <w:right w:val="single" w:sz="6" w:space="0" w:color="auto"/>
            </w:tcBorders>
            <w:vAlign w:val="center"/>
          </w:tcPr>
          <w:p w:rsidR="00DC360D" w:rsidRPr="00C04DDE" w:rsidRDefault="00DC360D" w:rsidP="001D4323">
            <w:pPr>
              <w:pStyle w:val="Ttulo1"/>
              <w:rPr>
                <w:rFonts w:cs="Arial"/>
                <w:sz w:val="20"/>
              </w:rPr>
            </w:pPr>
            <w:r w:rsidRPr="00C04DDE">
              <w:rPr>
                <w:rFonts w:cs="Arial"/>
                <w:sz w:val="20"/>
                <w:szCs w:val="22"/>
              </w:rPr>
              <w:t>No.</w:t>
            </w:r>
          </w:p>
        </w:tc>
        <w:tc>
          <w:tcPr>
            <w:tcW w:w="5003" w:type="dxa"/>
            <w:vMerge w:val="restart"/>
            <w:tcBorders>
              <w:top w:val="double" w:sz="4" w:space="0" w:color="auto"/>
              <w:left w:val="single" w:sz="6" w:space="0" w:color="auto"/>
              <w:bottom w:val="single" w:sz="6" w:space="0" w:color="auto"/>
              <w:right w:val="single" w:sz="6" w:space="0" w:color="auto"/>
            </w:tcBorders>
            <w:vAlign w:val="center"/>
          </w:tcPr>
          <w:p w:rsidR="00DC360D" w:rsidRPr="00C04DDE" w:rsidRDefault="00DC360D" w:rsidP="001D4323">
            <w:pPr>
              <w:pStyle w:val="Ttulo3"/>
              <w:numPr>
                <w:ilvl w:val="0"/>
                <w:numId w:val="0"/>
              </w:numPr>
              <w:jc w:val="center"/>
              <w:rPr>
                <w:sz w:val="20"/>
              </w:rPr>
            </w:pPr>
            <w:r w:rsidRPr="00C04DDE">
              <w:rPr>
                <w:sz w:val="20"/>
              </w:rPr>
              <w:t>INDICADOR DE PRODUCTO</w:t>
            </w:r>
          </w:p>
        </w:tc>
        <w:tc>
          <w:tcPr>
            <w:tcW w:w="1729" w:type="dxa"/>
            <w:gridSpan w:val="2"/>
            <w:tcBorders>
              <w:top w:val="double" w:sz="4" w:space="0" w:color="auto"/>
              <w:left w:val="single" w:sz="6" w:space="0" w:color="auto"/>
              <w:bottom w:val="single" w:sz="6" w:space="0" w:color="auto"/>
              <w:right w:val="double" w:sz="4" w:space="0" w:color="auto"/>
            </w:tcBorders>
            <w:vAlign w:val="center"/>
          </w:tcPr>
          <w:p w:rsidR="00DC360D" w:rsidRPr="00C04DDE" w:rsidRDefault="00DC360D" w:rsidP="00AA4F79">
            <w:pPr>
              <w:jc w:val="center"/>
              <w:rPr>
                <w:rFonts w:ascii="Arial" w:hAnsi="Arial" w:cs="Arial"/>
                <w:b/>
                <w:sz w:val="20"/>
              </w:rPr>
            </w:pPr>
            <w:r w:rsidRPr="00C04DDE">
              <w:rPr>
                <w:rFonts w:ascii="Arial" w:hAnsi="Arial" w:cs="Arial"/>
                <w:b/>
                <w:sz w:val="20"/>
                <w:szCs w:val="22"/>
              </w:rPr>
              <w:t xml:space="preserve">TRIMESTRE </w:t>
            </w:r>
            <w:r>
              <w:rPr>
                <w:rFonts w:ascii="Arial" w:hAnsi="Arial" w:cs="Arial"/>
                <w:b/>
                <w:sz w:val="20"/>
                <w:szCs w:val="22"/>
              </w:rPr>
              <w:t>ABRIL</w:t>
            </w:r>
            <w:r w:rsidRPr="00C04DDE">
              <w:rPr>
                <w:rFonts w:ascii="Arial" w:hAnsi="Arial" w:cs="Arial"/>
                <w:b/>
                <w:sz w:val="20"/>
                <w:szCs w:val="22"/>
              </w:rPr>
              <w:t>-</w:t>
            </w:r>
            <w:r>
              <w:rPr>
                <w:rFonts w:ascii="Arial" w:hAnsi="Arial" w:cs="Arial"/>
                <w:b/>
                <w:sz w:val="20"/>
                <w:szCs w:val="22"/>
              </w:rPr>
              <w:t>JUNIO</w:t>
            </w:r>
          </w:p>
        </w:tc>
        <w:tc>
          <w:tcPr>
            <w:tcW w:w="1729" w:type="dxa"/>
            <w:tcBorders>
              <w:top w:val="double" w:sz="4" w:space="0" w:color="auto"/>
              <w:left w:val="single" w:sz="6" w:space="0" w:color="auto"/>
              <w:bottom w:val="single" w:sz="6" w:space="0" w:color="auto"/>
              <w:right w:val="double" w:sz="4" w:space="0" w:color="auto"/>
            </w:tcBorders>
            <w:vAlign w:val="center"/>
          </w:tcPr>
          <w:p w:rsidR="00DC360D" w:rsidRPr="00C04DDE" w:rsidRDefault="00DC360D" w:rsidP="00DC360D">
            <w:pPr>
              <w:jc w:val="center"/>
              <w:rPr>
                <w:rFonts w:ascii="Arial" w:hAnsi="Arial" w:cs="Arial"/>
                <w:b/>
                <w:sz w:val="20"/>
              </w:rPr>
            </w:pPr>
            <w:r>
              <w:rPr>
                <w:rFonts w:ascii="Arial" w:hAnsi="Arial" w:cs="Arial"/>
                <w:b/>
                <w:sz w:val="20"/>
                <w:szCs w:val="22"/>
              </w:rPr>
              <w:t>PERIODO</w:t>
            </w:r>
            <w:r w:rsidRPr="00C04DDE">
              <w:rPr>
                <w:rFonts w:ascii="Arial" w:hAnsi="Arial" w:cs="Arial"/>
                <w:b/>
                <w:sz w:val="20"/>
                <w:szCs w:val="22"/>
              </w:rPr>
              <w:t xml:space="preserve"> </w:t>
            </w:r>
            <w:r>
              <w:rPr>
                <w:rFonts w:ascii="Arial" w:hAnsi="Arial" w:cs="Arial"/>
                <w:b/>
                <w:sz w:val="20"/>
                <w:szCs w:val="22"/>
              </w:rPr>
              <w:t>ENERO</w:t>
            </w:r>
            <w:r w:rsidRPr="00C04DDE">
              <w:rPr>
                <w:rFonts w:ascii="Arial" w:hAnsi="Arial" w:cs="Arial"/>
                <w:b/>
                <w:sz w:val="20"/>
                <w:szCs w:val="22"/>
              </w:rPr>
              <w:t>-</w:t>
            </w:r>
            <w:r>
              <w:rPr>
                <w:rFonts w:ascii="Arial" w:hAnsi="Arial" w:cs="Arial"/>
                <w:b/>
                <w:sz w:val="20"/>
                <w:szCs w:val="22"/>
              </w:rPr>
              <w:t>JUNIO</w:t>
            </w:r>
          </w:p>
        </w:tc>
      </w:tr>
      <w:tr w:rsidR="00DC360D" w:rsidTr="00DC360D">
        <w:trPr>
          <w:cantSplit/>
          <w:trHeight w:val="263"/>
          <w:jc w:val="center"/>
        </w:trPr>
        <w:tc>
          <w:tcPr>
            <w:tcW w:w="0" w:type="auto"/>
            <w:vMerge/>
            <w:tcBorders>
              <w:top w:val="single" w:sz="6" w:space="0" w:color="auto"/>
              <w:left w:val="double" w:sz="4" w:space="0" w:color="auto"/>
              <w:bottom w:val="double" w:sz="4" w:space="0" w:color="auto"/>
              <w:right w:val="single" w:sz="6" w:space="0" w:color="auto"/>
            </w:tcBorders>
          </w:tcPr>
          <w:p w:rsidR="00DC360D" w:rsidRPr="00C04DDE" w:rsidRDefault="00DC360D" w:rsidP="001D4323">
            <w:pPr>
              <w:jc w:val="center"/>
              <w:rPr>
                <w:rFonts w:ascii="Arial" w:hAnsi="Arial" w:cs="Arial"/>
                <w:b/>
                <w:sz w:val="20"/>
              </w:rPr>
            </w:pPr>
          </w:p>
        </w:tc>
        <w:tc>
          <w:tcPr>
            <w:tcW w:w="5003" w:type="dxa"/>
            <w:vMerge/>
            <w:tcBorders>
              <w:top w:val="single" w:sz="6" w:space="0" w:color="auto"/>
              <w:left w:val="single" w:sz="6" w:space="0" w:color="auto"/>
              <w:bottom w:val="double" w:sz="4" w:space="0" w:color="auto"/>
              <w:right w:val="single" w:sz="6" w:space="0" w:color="auto"/>
            </w:tcBorders>
          </w:tcPr>
          <w:p w:rsidR="00DC360D" w:rsidRPr="00C04DDE" w:rsidRDefault="00DC360D" w:rsidP="001D4323">
            <w:pPr>
              <w:jc w:val="center"/>
              <w:rPr>
                <w:rFonts w:ascii="Arial" w:hAnsi="Arial" w:cs="Arial"/>
                <w:sz w:val="20"/>
              </w:rPr>
            </w:pPr>
          </w:p>
        </w:tc>
        <w:tc>
          <w:tcPr>
            <w:tcW w:w="3458" w:type="dxa"/>
            <w:gridSpan w:val="3"/>
            <w:tcBorders>
              <w:top w:val="single" w:sz="6" w:space="0" w:color="auto"/>
              <w:left w:val="single" w:sz="6" w:space="0" w:color="auto"/>
              <w:bottom w:val="double" w:sz="4" w:space="0" w:color="auto"/>
              <w:right w:val="double" w:sz="4" w:space="0" w:color="auto"/>
            </w:tcBorders>
            <w:vAlign w:val="center"/>
          </w:tcPr>
          <w:p w:rsidR="00DC360D" w:rsidRPr="00C04DDE" w:rsidRDefault="00DC360D" w:rsidP="00DC360D">
            <w:pPr>
              <w:jc w:val="center"/>
              <w:rPr>
                <w:rFonts w:ascii="Arial" w:hAnsi="Arial" w:cs="Arial"/>
                <w:b/>
                <w:sz w:val="20"/>
              </w:rPr>
            </w:pPr>
            <w:r w:rsidRPr="00C04DDE">
              <w:rPr>
                <w:rFonts w:ascii="Arial" w:hAnsi="Arial" w:cs="Arial"/>
                <w:b/>
                <w:sz w:val="20"/>
                <w:szCs w:val="22"/>
              </w:rPr>
              <w:t>AVANCE FISICO (%)</w:t>
            </w:r>
          </w:p>
        </w:tc>
      </w:tr>
      <w:tr w:rsidR="00DC360D" w:rsidTr="00DC360D">
        <w:trPr>
          <w:cantSplit/>
          <w:trHeight w:val="453"/>
          <w:jc w:val="center"/>
        </w:trPr>
        <w:tc>
          <w:tcPr>
            <w:tcW w:w="0" w:type="auto"/>
            <w:tcBorders>
              <w:top w:val="single" w:sz="4" w:space="0" w:color="auto"/>
              <w:left w:val="double" w:sz="4" w:space="0" w:color="auto"/>
              <w:bottom w:val="single" w:sz="4" w:space="0" w:color="auto"/>
              <w:right w:val="single" w:sz="4" w:space="0" w:color="auto"/>
            </w:tcBorders>
            <w:vAlign w:val="center"/>
          </w:tcPr>
          <w:p w:rsidR="00DC360D" w:rsidRDefault="00DC360D" w:rsidP="001D4323">
            <w:pPr>
              <w:jc w:val="center"/>
              <w:rPr>
                <w:rFonts w:ascii="Arial" w:hAnsi="Arial" w:cs="Arial"/>
              </w:rPr>
            </w:pPr>
            <w:r>
              <w:rPr>
                <w:rFonts w:ascii="Arial" w:hAnsi="Arial" w:cs="Arial"/>
                <w:sz w:val="22"/>
                <w:szCs w:val="22"/>
              </w:rPr>
              <w:t>1</w:t>
            </w:r>
          </w:p>
        </w:tc>
        <w:tc>
          <w:tcPr>
            <w:tcW w:w="5003" w:type="dxa"/>
            <w:tcBorders>
              <w:top w:val="single" w:sz="4" w:space="0" w:color="auto"/>
              <w:left w:val="single" w:sz="4" w:space="0" w:color="auto"/>
              <w:bottom w:val="single" w:sz="4" w:space="0" w:color="auto"/>
              <w:right w:val="single" w:sz="4" w:space="0" w:color="auto"/>
            </w:tcBorders>
            <w:vAlign w:val="center"/>
          </w:tcPr>
          <w:p w:rsidR="00DC360D" w:rsidRPr="00764ED5" w:rsidRDefault="00DC360D" w:rsidP="001D4323">
            <w:pPr>
              <w:pStyle w:val="Ttulo5"/>
              <w:jc w:val="both"/>
              <w:rPr>
                <w:b w:val="0"/>
                <w:sz w:val="18"/>
              </w:rPr>
            </w:pPr>
            <w:r>
              <w:rPr>
                <w:b w:val="0"/>
                <w:sz w:val="18"/>
              </w:rPr>
              <w:t>Plan anual de adquisiciones y contrataciones del MAG., consolidado.</w:t>
            </w:r>
          </w:p>
        </w:tc>
        <w:tc>
          <w:tcPr>
            <w:tcW w:w="1660" w:type="dxa"/>
            <w:tcBorders>
              <w:top w:val="single" w:sz="4" w:space="0" w:color="auto"/>
              <w:left w:val="single" w:sz="4" w:space="0" w:color="auto"/>
              <w:bottom w:val="single" w:sz="4" w:space="0" w:color="auto"/>
              <w:right w:val="single" w:sz="4" w:space="0" w:color="auto"/>
            </w:tcBorders>
            <w:vAlign w:val="center"/>
          </w:tcPr>
          <w:p w:rsidR="00DC360D" w:rsidRPr="00DC360D" w:rsidRDefault="00DC360D" w:rsidP="001D4323">
            <w:pPr>
              <w:jc w:val="center"/>
              <w:rPr>
                <w:rFonts w:ascii="Arial" w:hAnsi="Arial" w:cs="Arial"/>
                <w:b/>
                <w:sz w:val="20"/>
              </w:rPr>
            </w:pPr>
            <w:r w:rsidRPr="00DC360D">
              <w:rPr>
                <w:rFonts w:ascii="Arial" w:hAnsi="Arial" w:cs="Arial"/>
                <w:b/>
                <w:sz w:val="20"/>
              </w:rPr>
              <w:t>0</w:t>
            </w:r>
          </w:p>
        </w:tc>
        <w:tc>
          <w:tcPr>
            <w:tcW w:w="1798" w:type="dxa"/>
            <w:gridSpan w:val="2"/>
            <w:tcBorders>
              <w:top w:val="single" w:sz="4" w:space="0" w:color="auto"/>
              <w:left w:val="single" w:sz="4" w:space="0" w:color="auto"/>
              <w:bottom w:val="single" w:sz="4" w:space="0" w:color="auto"/>
              <w:right w:val="double" w:sz="4" w:space="0" w:color="auto"/>
            </w:tcBorders>
            <w:vAlign w:val="center"/>
          </w:tcPr>
          <w:p w:rsidR="00DC360D" w:rsidRPr="00DC360D" w:rsidRDefault="00DC360D" w:rsidP="001D4323">
            <w:pPr>
              <w:jc w:val="center"/>
              <w:rPr>
                <w:rFonts w:ascii="Arial" w:hAnsi="Arial" w:cs="Arial"/>
                <w:b/>
                <w:sz w:val="20"/>
              </w:rPr>
            </w:pPr>
            <w:r w:rsidRPr="00DC360D">
              <w:rPr>
                <w:rFonts w:ascii="Arial" w:hAnsi="Arial" w:cs="Arial"/>
                <w:b/>
                <w:sz w:val="20"/>
              </w:rPr>
              <w:t>100</w:t>
            </w:r>
          </w:p>
        </w:tc>
      </w:tr>
      <w:tr w:rsidR="00DC360D" w:rsidTr="00DC360D">
        <w:trPr>
          <w:cantSplit/>
          <w:trHeight w:val="477"/>
          <w:jc w:val="center"/>
        </w:trPr>
        <w:tc>
          <w:tcPr>
            <w:tcW w:w="0" w:type="auto"/>
            <w:tcBorders>
              <w:top w:val="single" w:sz="4" w:space="0" w:color="auto"/>
              <w:left w:val="double" w:sz="4" w:space="0" w:color="auto"/>
              <w:bottom w:val="single" w:sz="4" w:space="0" w:color="auto"/>
              <w:right w:val="single" w:sz="4" w:space="0" w:color="auto"/>
            </w:tcBorders>
            <w:vAlign w:val="center"/>
          </w:tcPr>
          <w:p w:rsidR="00DC360D" w:rsidRDefault="00DC360D" w:rsidP="001D4323">
            <w:pPr>
              <w:jc w:val="center"/>
              <w:rPr>
                <w:rFonts w:ascii="Arial" w:hAnsi="Arial" w:cs="Arial"/>
              </w:rPr>
            </w:pPr>
            <w:r>
              <w:rPr>
                <w:rFonts w:ascii="Arial" w:hAnsi="Arial" w:cs="Arial"/>
                <w:sz w:val="22"/>
                <w:szCs w:val="22"/>
              </w:rPr>
              <w:t>2</w:t>
            </w:r>
          </w:p>
        </w:tc>
        <w:tc>
          <w:tcPr>
            <w:tcW w:w="5003" w:type="dxa"/>
            <w:tcBorders>
              <w:top w:val="single" w:sz="4" w:space="0" w:color="auto"/>
              <w:left w:val="single" w:sz="4" w:space="0" w:color="auto"/>
              <w:bottom w:val="single" w:sz="4" w:space="0" w:color="auto"/>
              <w:right w:val="single" w:sz="4" w:space="0" w:color="auto"/>
            </w:tcBorders>
            <w:vAlign w:val="center"/>
          </w:tcPr>
          <w:p w:rsidR="00DC360D" w:rsidRPr="00764ED5" w:rsidRDefault="00DC360D" w:rsidP="001D4323">
            <w:pPr>
              <w:pStyle w:val="Ttulo5"/>
              <w:jc w:val="both"/>
              <w:rPr>
                <w:b w:val="0"/>
                <w:sz w:val="18"/>
              </w:rPr>
            </w:pPr>
            <w:r>
              <w:rPr>
                <w:b w:val="0"/>
                <w:sz w:val="18"/>
              </w:rPr>
              <w:t>Orden de compra para la adquisición de obras, bienes y servicios para el MAG.; elaboradas.</w:t>
            </w:r>
          </w:p>
        </w:tc>
        <w:tc>
          <w:tcPr>
            <w:tcW w:w="1660" w:type="dxa"/>
            <w:tcBorders>
              <w:top w:val="single" w:sz="4" w:space="0" w:color="auto"/>
              <w:left w:val="single" w:sz="4" w:space="0" w:color="auto"/>
              <w:bottom w:val="single" w:sz="4" w:space="0" w:color="auto"/>
              <w:right w:val="single" w:sz="4" w:space="0" w:color="auto"/>
            </w:tcBorders>
            <w:vAlign w:val="center"/>
          </w:tcPr>
          <w:p w:rsidR="00DC360D" w:rsidRPr="00DC360D" w:rsidRDefault="00DC360D" w:rsidP="00DC360D">
            <w:pPr>
              <w:jc w:val="center"/>
              <w:rPr>
                <w:rFonts w:ascii="Arial" w:hAnsi="Arial" w:cs="Arial"/>
                <w:b/>
                <w:sz w:val="20"/>
              </w:rPr>
            </w:pPr>
            <w:r w:rsidRPr="00DC360D">
              <w:rPr>
                <w:rFonts w:ascii="Arial" w:hAnsi="Arial" w:cs="Arial"/>
                <w:b/>
                <w:sz w:val="20"/>
              </w:rPr>
              <w:t>46.2</w:t>
            </w:r>
          </w:p>
        </w:tc>
        <w:tc>
          <w:tcPr>
            <w:tcW w:w="1798" w:type="dxa"/>
            <w:gridSpan w:val="2"/>
            <w:tcBorders>
              <w:top w:val="single" w:sz="4" w:space="0" w:color="auto"/>
              <w:left w:val="single" w:sz="4" w:space="0" w:color="auto"/>
              <w:bottom w:val="single" w:sz="4" w:space="0" w:color="auto"/>
              <w:right w:val="double" w:sz="4" w:space="0" w:color="auto"/>
            </w:tcBorders>
            <w:vAlign w:val="center"/>
          </w:tcPr>
          <w:p w:rsidR="00DC360D" w:rsidRPr="00DC360D" w:rsidRDefault="00DC360D" w:rsidP="001D4323">
            <w:pPr>
              <w:jc w:val="center"/>
              <w:rPr>
                <w:rFonts w:ascii="Arial" w:hAnsi="Arial" w:cs="Arial"/>
                <w:b/>
                <w:sz w:val="20"/>
              </w:rPr>
            </w:pPr>
            <w:r w:rsidRPr="00DC360D">
              <w:rPr>
                <w:rFonts w:ascii="Arial" w:hAnsi="Arial" w:cs="Arial"/>
                <w:b/>
                <w:sz w:val="20"/>
              </w:rPr>
              <w:t>32.5</w:t>
            </w:r>
          </w:p>
        </w:tc>
      </w:tr>
      <w:tr w:rsidR="00DC360D" w:rsidTr="00DC360D">
        <w:trPr>
          <w:cantSplit/>
          <w:trHeight w:val="353"/>
          <w:jc w:val="center"/>
        </w:trPr>
        <w:tc>
          <w:tcPr>
            <w:tcW w:w="0" w:type="auto"/>
            <w:tcBorders>
              <w:top w:val="single" w:sz="4" w:space="0" w:color="auto"/>
              <w:left w:val="double" w:sz="4" w:space="0" w:color="auto"/>
              <w:bottom w:val="single" w:sz="4" w:space="0" w:color="auto"/>
              <w:right w:val="single" w:sz="4" w:space="0" w:color="auto"/>
            </w:tcBorders>
            <w:vAlign w:val="center"/>
          </w:tcPr>
          <w:p w:rsidR="00DC360D" w:rsidRDefault="00DC360D" w:rsidP="001D4323">
            <w:pPr>
              <w:jc w:val="center"/>
              <w:rPr>
                <w:rFonts w:ascii="Arial" w:hAnsi="Arial" w:cs="Arial"/>
              </w:rPr>
            </w:pPr>
            <w:r>
              <w:rPr>
                <w:rFonts w:ascii="Arial" w:hAnsi="Arial" w:cs="Arial"/>
                <w:sz w:val="22"/>
                <w:szCs w:val="22"/>
              </w:rPr>
              <w:t>3</w:t>
            </w:r>
          </w:p>
        </w:tc>
        <w:tc>
          <w:tcPr>
            <w:tcW w:w="5003" w:type="dxa"/>
            <w:tcBorders>
              <w:top w:val="single" w:sz="4" w:space="0" w:color="auto"/>
              <w:left w:val="single" w:sz="4" w:space="0" w:color="auto"/>
              <w:bottom w:val="single" w:sz="4" w:space="0" w:color="auto"/>
              <w:right w:val="single" w:sz="4" w:space="0" w:color="auto"/>
            </w:tcBorders>
            <w:vAlign w:val="center"/>
          </w:tcPr>
          <w:p w:rsidR="00DC360D" w:rsidRPr="00D40827" w:rsidRDefault="00DC360D" w:rsidP="001D4323">
            <w:pPr>
              <w:pStyle w:val="Ttulo5"/>
              <w:jc w:val="both"/>
              <w:rPr>
                <w:sz w:val="18"/>
              </w:rPr>
            </w:pPr>
            <w:r>
              <w:rPr>
                <w:b w:val="0"/>
                <w:sz w:val="18"/>
              </w:rPr>
              <w:t>Contratos y/o ordenes de negociación para la adquisición de obras, bienes y servicios para el MAG.; elaborados.</w:t>
            </w:r>
          </w:p>
        </w:tc>
        <w:tc>
          <w:tcPr>
            <w:tcW w:w="1660" w:type="dxa"/>
            <w:tcBorders>
              <w:top w:val="single" w:sz="4" w:space="0" w:color="auto"/>
              <w:left w:val="single" w:sz="4" w:space="0" w:color="auto"/>
              <w:bottom w:val="single" w:sz="4" w:space="0" w:color="auto"/>
              <w:right w:val="single" w:sz="4" w:space="0" w:color="auto"/>
            </w:tcBorders>
            <w:vAlign w:val="center"/>
          </w:tcPr>
          <w:p w:rsidR="00DC360D" w:rsidRPr="00DC360D" w:rsidRDefault="00DC360D" w:rsidP="00DC360D">
            <w:pPr>
              <w:jc w:val="center"/>
              <w:rPr>
                <w:rFonts w:ascii="Arial" w:hAnsi="Arial" w:cs="Arial"/>
                <w:b/>
                <w:sz w:val="20"/>
              </w:rPr>
            </w:pPr>
            <w:r w:rsidRPr="00DC360D">
              <w:rPr>
                <w:rFonts w:ascii="Arial" w:hAnsi="Arial" w:cs="Arial"/>
                <w:b/>
                <w:sz w:val="20"/>
              </w:rPr>
              <w:t>36.7</w:t>
            </w:r>
          </w:p>
        </w:tc>
        <w:tc>
          <w:tcPr>
            <w:tcW w:w="1798" w:type="dxa"/>
            <w:gridSpan w:val="2"/>
            <w:tcBorders>
              <w:top w:val="single" w:sz="4" w:space="0" w:color="auto"/>
              <w:left w:val="single" w:sz="4" w:space="0" w:color="auto"/>
              <w:bottom w:val="single" w:sz="4" w:space="0" w:color="auto"/>
              <w:right w:val="double" w:sz="4" w:space="0" w:color="auto"/>
            </w:tcBorders>
            <w:vAlign w:val="center"/>
          </w:tcPr>
          <w:p w:rsidR="00DC360D" w:rsidRPr="00DC360D" w:rsidRDefault="00DC360D" w:rsidP="001D4323">
            <w:pPr>
              <w:jc w:val="center"/>
              <w:rPr>
                <w:rFonts w:ascii="Arial" w:hAnsi="Arial" w:cs="Arial"/>
                <w:b/>
                <w:sz w:val="20"/>
              </w:rPr>
            </w:pPr>
            <w:r w:rsidRPr="00DC360D">
              <w:rPr>
                <w:rFonts w:ascii="Arial" w:hAnsi="Arial" w:cs="Arial"/>
                <w:b/>
                <w:sz w:val="20"/>
              </w:rPr>
              <w:t>100</w:t>
            </w:r>
          </w:p>
        </w:tc>
      </w:tr>
      <w:tr w:rsidR="00DC360D" w:rsidTr="00DC360D">
        <w:trPr>
          <w:cantSplit/>
          <w:trHeight w:val="388"/>
          <w:jc w:val="center"/>
        </w:trPr>
        <w:tc>
          <w:tcPr>
            <w:tcW w:w="5466" w:type="dxa"/>
            <w:gridSpan w:val="2"/>
            <w:tcBorders>
              <w:top w:val="double" w:sz="4" w:space="0" w:color="auto"/>
              <w:left w:val="double" w:sz="4" w:space="0" w:color="auto"/>
              <w:bottom w:val="double" w:sz="4" w:space="0" w:color="auto"/>
              <w:right w:val="single" w:sz="6" w:space="0" w:color="auto"/>
            </w:tcBorders>
            <w:vAlign w:val="center"/>
          </w:tcPr>
          <w:p w:rsidR="00DC360D" w:rsidRPr="00C04DDE" w:rsidRDefault="00DC360D" w:rsidP="001D4323">
            <w:pPr>
              <w:pStyle w:val="Ttulo4"/>
            </w:pPr>
            <w:r w:rsidRPr="00C04DDE">
              <w:rPr>
                <w:szCs w:val="22"/>
              </w:rPr>
              <w:t>TOTAL INSTITUCION</w:t>
            </w:r>
          </w:p>
        </w:tc>
        <w:tc>
          <w:tcPr>
            <w:tcW w:w="1660" w:type="dxa"/>
            <w:tcBorders>
              <w:top w:val="double" w:sz="4" w:space="0" w:color="auto"/>
              <w:left w:val="single" w:sz="6" w:space="0" w:color="auto"/>
              <w:bottom w:val="double" w:sz="4" w:space="0" w:color="auto"/>
              <w:right w:val="single" w:sz="4" w:space="0" w:color="auto"/>
            </w:tcBorders>
            <w:vAlign w:val="center"/>
          </w:tcPr>
          <w:p w:rsidR="00DC360D" w:rsidRPr="00C04DDE" w:rsidRDefault="00DC360D" w:rsidP="001D4323">
            <w:pPr>
              <w:jc w:val="center"/>
              <w:rPr>
                <w:rFonts w:ascii="Arial" w:hAnsi="Arial" w:cs="Arial"/>
                <w:b/>
                <w:bCs/>
                <w:sz w:val="20"/>
              </w:rPr>
            </w:pPr>
            <w:r>
              <w:rPr>
                <w:rFonts w:ascii="Arial" w:hAnsi="Arial" w:cs="Arial"/>
                <w:b/>
                <w:bCs/>
                <w:sz w:val="20"/>
              </w:rPr>
              <w:t>41.4</w:t>
            </w:r>
          </w:p>
        </w:tc>
        <w:tc>
          <w:tcPr>
            <w:tcW w:w="1798" w:type="dxa"/>
            <w:gridSpan w:val="2"/>
            <w:tcBorders>
              <w:top w:val="double" w:sz="4" w:space="0" w:color="auto"/>
              <w:left w:val="single" w:sz="4" w:space="0" w:color="auto"/>
              <w:bottom w:val="double" w:sz="4" w:space="0" w:color="auto"/>
              <w:right w:val="double" w:sz="4" w:space="0" w:color="auto"/>
            </w:tcBorders>
            <w:vAlign w:val="center"/>
          </w:tcPr>
          <w:p w:rsidR="00DC360D" w:rsidRPr="00C04DDE" w:rsidRDefault="00DC360D" w:rsidP="001D4323">
            <w:pPr>
              <w:jc w:val="center"/>
              <w:rPr>
                <w:rFonts w:ascii="Arial" w:hAnsi="Arial" w:cs="Arial"/>
                <w:b/>
                <w:sz w:val="20"/>
              </w:rPr>
            </w:pPr>
            <w:r>
              <w:rPr>
                <w:rFonts w:ascii="Arial" w:hAnsi="Arial" w:cs="Arial"/>
                <w:b/>
                <w:sz w:val="20"/>
              </w:rPr>
              <w:t>69</w:t>
            </w:r>
          </w:p>
        </w:tc>
      </w:tr>
    </w:tbl>
    <w:p w:rsidR="008A06B8" w:rsidRPr="00C04DDE" w:rsidRDefault="008A06B8" w:rsidP="008A06B8">
      <w:pPr>
        <w:jc w:val="both"/>
        <w:rPr>
          <w:rFonts w:ascii="Arial" w:hAnsi="Arial" w:cs="Arial"/>
          <w:sz w:val="20"/>
          <w:szCs w:val="22"/>
        </w:rPr>
      </w:pPr>
      <w:r w:rsidRPr="00C04DDE">
        <w:rPr>
          <w:rFonts w:ascii="Arial" w:hAnsi="Arial" w:cs="Arial"/>
          <w:b/>
          <w:sz w:val="20"/>
          <w:szCs w:val="22"/>
        </w:rPr>
        <w:t>FUENTE: OACI.</w:t>
      </w:r>
      <w:r w:rsidRPr="00C04DDE">
        <w:rPr>
          <w:rFonts w:ascii="Arial" w:hAnsi="Arial" w:cs="Arial"/>
          <w:sz w:val="20"/>
          <w:szCs w:val="22"/>
        </w:rPr>
        <w:t xml:space="preserve"> Informe de avance físico del </w:t>
      </w:r>
      <w:r w:rsidR="00DC360D">
        <w:rPr>
          <w:rFonts w:ascii="Arial" w:hAnsi="Arial" w:cs="Arial"/>
          <w:sz w:val="20"/>
          <w:szCs w:val="22"/>
        </w:rPr>
        <w:t>segundo</w:t>
      </w:r>
      <w:r w:rsidRPr="00C04DDE">
        <w:rPr>
          <w:rFonts w:ascii="Arial" w:hAnsi="Arial" w:cs="Arial"/>
          <w:sz w:val="20"/>
          <w:szCs w:val="22"/>
        </w:rPr>
        <w:t xml:space="preserve"> trimestre de 2019. </w:t>
      </w:r>
    </w:p>
    <w:p w:rsidR="008A06B8" w:rsidRDefault="008A06B8" w:rsidP="008A06B8"/>
    <w:p w:rsidR="007D0AC3" w:rsidRDefault="007D0AC3"/>
    <w:sectPr w:rsidR="007D0AC3" w:rsidSect="00E72D00">
      <w:pgSz w:w="11906" w:h="16838"/>
      <w:pgMar w:top="1417" w:right="1416" w:bottom="141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12E31"/>
    <w:multiLevelType w:val="hybridMultilevel"/>
    <w:tmpl w:val="80607DEA"/>
    <w:lvl w:ilvl="0" w:tplc="440A0011">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14C15C32"/>
    <w:multiLevelType w:val="hybridMultilevel"/>
    <w:tmpl w:val="EBD84176"/>
    <w:lvl w:ilvl="0" w:tplc="440A0011">
      <w:start w:val="1"/>
      <w:numFmt w:val="decimal"/>
      <w:lvlText w:val="%1)"/>
      <w:lvlJc w:val="left"/>
      <w:pPr>
        <w:ind w:left="750" w:hanging="39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188A1CBF"/>
    <w:multiLevelType w:val="hybridMultilevel"/>
    <w:tmpl w:val="02107F98"/>
    <w:lvl w:ilvl="0" w:tplc="147A0BB2">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18971A93"/>
    <w:multiLevelType w:val="hybridMultilevel"/>
    <w:tmpl w:val="34F87B10"/>
    <w:lvl w:ilvl="0" w:tplc="FFFFFFFF">
      <w:start w:val="1"/>
      <w:numFmt w:val="upperRoman"/>
      <w:pStyle w:val="Ttulo3"/>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A5B30D9"/>
    <w:multiLevelType w:val="hybridMultilevel"/>
    <w:tmpl w:val="EBD84176"/>
    <w:lvl w:ilvl="0" w:tplc="440A0011">
      <w:start w:val="1"/>
      <w:numFmt w:val="decimal"/>
      <w:lvlText w:val="%1)"/>
      <w:lvlJc w:val="left"/>
      <w:pPr>
        <w:ind w:left="750" w:hanging="39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697D38C1"/>
    <w:multiLevelType w:val="hybridMultilevel"/>
    <w:tmpl w:val="17881F4A"/>
    <w:lvl w:ilvl="0" w:tplc="13A4C86A">
      <w:start w:val="2"/>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732A6877"/>
    <w:multiLevelType w:val="hybridMultilevel"/>
    <w:tmpl w:val="5636BAD0"/>
    <w:lvl w:ilvl="0" w:tplc="041AA786">
      <w:start w:val="1"/>
      <w:numFmt w:val="decimal"/>
      <w:lvlText w:val="%1-"/>
      <w:lvlJc w:val="left"/>
      <w:pPr>
        <w:ind w:left="750" w:hanging="39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7ACA5750"/>
    <w:multiLevelType w:val="hybridMultilevel"/>
    <w:tmpl w:val="BCF0F916"/>
    <w:lvl w:ilvl="0" w:tplc="B2DC1B7E">
      <w:start w:val="1"/>
      <w:numFmt w:val="decimal"/>
      <w:lvlText w:val="%1)"/>
      <w:lvlJc w:val="left"/>
      <w:pPr>
        <w:ind w:left="750" w:hanging="39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1"/>
  </w:num>
  <w:num w:numId="6">
    <w:abstractNumId w:val="7"/>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8A06B8"/>
    <w:rsid w:val="00016836"/>
    <w:rsid w:val="00030F52"/>
    <w:rsid w:val="00035154"/>
    <w:rsid w:val="000E384F"/>
    <w:rsid w:val="00171C01"/>
    <w:rsid w:val="00191E80"/>
    <w:rsid w:val="00233DDB"/>
    <w:rsid w:val="00271B8B"/>
    <w:rsid w:val="003C5826"/>
    <w:rsid w:val="003D4082"/>
    <w:rsid w:val="004C2041"/>
    <w:rsid w:val="004D63C2"/>
    <w:rsid w:val="00504AFB"/>
    <w:rsid w:val="005D6CC3"/>
    <w:rsid w:val="006346CF"/>
    <w:rsid w:val="00717085"/>
    <w:rsid w:val="00722BD1"/>
    <w:rsid w:val="007D0AC3"/>
    <w:rsid w:val="008A06B8"/>
    <w:rsid w:val="00921912"/>
    <w:rsid w:val="00A076A5"/>
    <w:rsid w:val="00A66FCA"/>
    <w:rsid w:val="00AA4A52"/>
    <w:rsid w:val="00AA4F79"/>
    <w:rsid w:val="00AA5B20"/>
    <w:rsid w:val="00AE3A49"/>
    <w:rsid w:val="00B34B2A"/>
    <w:rsid w:val="00C62678"/>
    <w:rsid w:val="00D0785A"/>
    <w:rsid w:val="00D76F2E"/>
    <w:rsid w:val="00D805A3"/>
    <w:rsid w:val="00D83521"/>
    <w:rsid w:val="00DC360D"/>
    <w:rsid w:val="00F3618B"/>
    <w:rsid w:val="00FA4A94"/>
    <w:rsid w:val="00FC3F60"/>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6B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A06B8"/>
    <w:pPr>
      <w:keepNext/>
      <w:jc w:val="center"/>
      <w:outlineLvl w:val="0"/>
    </w:pPr>
    <w:rPr>
      <w:rFonts w:ascii="Arial" w:hAnsi="Arial"/>
      <w:b/>
      <w:bCs/>
    </w:rPr>
  </w:style>
  <w:style w:type="paragraph" w:styleId="Ttulo3">
    <w:name w:val="heading 3"/>
    <w:basedOn w:val="Normal"/>
    <w:next w:val="Normal"/>
    <w:link w:val="Ttulo3Car"/>
    <w:qFormat/>
    <w:rsid w:val="008A06B8"/>
    <w:pPr>
      <w:keepNext/>
      <w:numPr>
        <w:numId w:val="1"/>
      </w:numPr>
      <w:jc w:val="both"/>
      <w:outlineLvl w:val="2"/>
    </w:pPr>
    <w:rPr>
      <w:rFonts w:ascii="Arial" w:hAnsi="Arial"/>
      <w:b/>
      <w:bCs/>
    </w:rPr>
  </w:style>
  <w:style w:type="paragraph" w:styleId="Ttulo4">
    <w:name w:val="heading 4"/>
    <w:basedOn w:val="Normal"/>
    <w:next w:val="Normal"/>
    <w:link w:val="Ttulo4Car"/>
    <w:qFormat/>
    <w:rsid w:val="008A06B8"/>
    <w:pPr>
      <w:keepNext/>
      <w:jc w:val="center"/>
      <w:outlineLvl w:val="3"/>
    </w:pPr>
    <w:rPr>
      <w:rFonts w:ascii="Arial" w:hAnsi="Arial" w:cs="Arial"/>
      <w:b/>
      <w:bCs/>
      <w:sz w:val="20"/>
    </w:rPr>
  </w:style>
  <w:style w:type="paragraph" w:styleId="Ttulo5">
    <w:name w:val="heading 5"/>
    <w:basedOn w:val="Normal"/>
    <w:next w:val="Normal"/>
    <w:link w:val="Ttulo5Car"/>
    <w:qFormat/>
    <w:rsid w:val="008A06B8"/>
    <w:pPr>
      <w:keepNext/>
      <w:jc w:val="center"/>
      <w:outlineLvl w:val="4"/>
    </w:pPr>
    <w:rPr>
      <w:rFonts w:ascii="Arial" w:hAnsi="Arial" w:cs="Arial"/>
      <w:b/>
      <w:bCs/>
      <w:sz w:val="20"/>
    </w:rPr>
  </w:style>
  <w:style w:type="paragraph" w:styleId="Ttulo9">
    <w:name w:val="heading 9"/>
    <w:basedOn w:val="Normal"/>
    <w:next w:val="Normal"/>
    <w:link w:val="Ttulo9Car"/>
    <w:qFormat/>
    <w:rsid w:val="008A06B8"/>
    <w:pPr>
      <w:keepNext/>
      <w:jc w:val="both"/>
      <w:outlineLvl w:val="8"/>
    </w:pPr>
    <w:rPr>
      <w:rFonts w:ascii="Arial" w:hAnsi="Arial" w:cs="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A06B8"/>
    <w:rPr>
      <w:rFonts w:ascii="Arial" w:eastAsia="Times New Roman" w:hAnsi="Arial" w:cs="Times New Roman"/>
      <w:b/>
      <w:bCs/>
      <w:sz w:val="24"/>
      <w:szCs w:val="24"/>
      <w:lang w:val="es-ES" w:eastAsia="es-ES"/>
    </w:rPr>
  </w:style>
  <w:style w:type="character" w:customStyle="1" w:styleId="Ttulo3Car">
    <w:name w:val="Título 3 Car"/>
    <w:basedOn w:val="Fuentedeprrafopredeter"/>
    <w:link w:val="Ttulo3"/>
    <w:rsid w:val="008A06B8"/>
    <w:rPr>
      <w:rFonts w:ascii="Arial" w:eastAsia="Times New Roman" w:hAnsi="Arial" w:cs="Times New Roman"/>
      <w:b/>
      <w:bCs/>
      <w:sz w:val="24"/>
      <w:szCs w:val="24"/>
      <w:lang w:val="es-ES" w:eastAsia="es-ES"/>
    </w:rPr>
  </w:style>
  <w:style w:type="character" w:customStyle="1" w:styleId="Ttulo4Car">
    <w:name w:val="Título 4 Car"/>
    <w:basedOn w:val="Fuentedeprrafopredeter"/>
    <w:link w:val="Ttulo4"/>
    <w:rsid w:val="008A06B8"/>
    <w:rPr>
      <w:rFonts w:ascii="Arial" w:eastAsia="Times New Roman" w:hAnsi="Arial" w:cs="Arial"/>
      <w:b/>
      <w:bCs/>
      <w:sz w:val="20"/>
      <w:szCs w:val="24"/>
      <w:lang w:val="es-ES" w:eastAsia="es-ES"/>
    </w:rPr>
  </w:style>
  <w:style w:type="character" w:customStyle="1" w:styleId="Ttulo5Car">
    <w:name w:val="Título 5 Car"/>
    <w:basedOn w:val="Fuentedeprrafopredeter"/>
    <w:link w:val="Ttulo5"/>
    <w:rsid w:val="008A06B8"/>
    <w:rPr>
      <w:rFonts w:ascii="Arial" w:eastAsia="Times New Roman" w:hAnsi="Arial" w:cs="Arial"/>
      <w:b/>
      <w:bCs/>
      <w:sz w:val="20"/>
      <w:szCs w:val="24"/>
      <w:lang w:val="es-ES" w:eastAsia="es-ES"/>
    </w:rPr>
  </w:style>
  <w:style w:type="character" w:customStyle="1" w:styleId="Ttulo9Car">
    <w:name w:val="Título 9 Car"/>
    <w:basedOn w:val="Fuentedeprrafopredeter"/>
    <w:link w:val="Ttulo9"/>
    <w:rsid w:val="008A06B8"/>
    <w:rPr>
      <w:rFonts w:ascii="Arial" w:eastAsia="Times New Roman" w:hAnsi="Arial" w:cs="Arial"/>
      <w:b/>
      <w:bCs/>
      <w:szCs w:val="24"/>
      <w:lang w:val="es-ES" w:eastAsia="es-ES"/>
    </w:rPr>
  </w:style>
  <w:style w:type="paragraph" w:styleId="Ttulo">
    <w:name w:val="Title"/>
    <w:basedOn w:val="Normal"/>
    <w:link w:val="TtuloCar"/>
    <w:qFormat/>
    <w:rsid w:val="008A06B8"/>
    <w:pPr>
      <w:jc w:val="center"/>
    </w:pPr>
    <w:rPr>
      <w:sz w:val="32"/>
    </w:rPr>
  </w:style>
  <w:style w:type="character" w:customStyle="1" w:styleId="TtuloCar">
    <w:name w:val="Título Car"/>
    <w:basedOn w:val="Fuentedeprrafopredeter"/>
    <w:link w:val="Ttulo"/>
    <w:rsid w:val="008A06B8"/>
    <w:rPr>
      <w:rFonts w:ascii="Times New Roman" w:eastAsia="Times New Roman" w:hAnsi="Times New Roman" w:cs="Times New Roman"/>
      <w:sz w:val="32"/>
      <w:szCs w:val="24"/>
      <w:lang w:val="es-ES" w:eastAsia="es-ES"/>
    </w:rPr>
  </w:style>
  <w:style w:type="paragraph" w:styleId="Subttulo">
    <w:name w:val="Subtitle"/>
    <w:basedOn w:val="Normal"/>
    <w:link w:val="SubttuloCar"/>
    <w:qFormat/>
    <w:rsid w:val="008A06B8"/>
    <w:pPr>
      <w:jc w:val="center"/>
    </w:pPr>
    <w:rPr>
      <w:b/>
      <w:bCs/>
      <w:sz w:val="32"/>
    </w:rPr>
  </w:style>
  <w:style w:type="character" w:customStyle="1" w:styleId="SubttuloCar">
    <w:name w:val="Subtítulo Car"/>
    <w:basedOn w:val="Fuentedeprrafopredeter"/>
    <w:link w:val="Subttulo"/>
    <w:rsid w:val="008A06B8"/>
    <w:rPr>
      <w:rFonts w:ascii="Times New Roman" w:eastAsia="Times New Roman" w:hAnsi="Times New Roman" w:cs="Times New Roman"/>
      <w:b/>
      <w:bCs/>
      <w:sz w:val="32"/>
      <w:szCs w:val="24"/>
      <w:lang w:val="es-ES" w:eastAsia="es-ES"/>
    </w:rPr>
  </w:style>
  <w:style w:type="paragraph" w:styleId="Textoindependiente3">
    <w:name w:val="Body Text 3"/>
    <w:basedOn w:val="Normal"/>
    <w:link w:val="Textoindependiente3Car"/>
    <w:semiHidden/>
    <w:rsid w:val="008A06B8"/>
    <w:pPr>
      <w:jc w:val="both"/>
    </w:pPr>
    <w:rPr>
      <w:rFonts w:ascii="Arial" w:hAnsi="Arial" w:cs="Arial"/>
      <w:sz w:val="22"/>
      <w:szCs w:val="22"/>
    </w:rPr>
  </w:style>
  <w:style w:type="character" w:customStyle="1" w:styleId="Textoindependiente3Car">
    <w:name w:val="Texto independiente 3 Car"/>
    <w:basedOn w:val="Fuentedeprrafopredeter"/>
    <w:link w:val="Textoindependiente3"/>
    <w:semiHidden/>
    <w:rsid w:val="008A06B8"/>
    <w:rPr>
      <w:rFonts w:ascii="Arial" w:eastAsia="Times New Roman" w:hAnsi="Arial" w:cs="Arial"/>
      <w:lang w:val="es-ES" w:eastAsia="es-ES"/>
    </w:rPr>
  </w:style>
  <w:style w:type="paragraph" w:styleId="Prrafodelista">
    <w:name w:val="List Paragraph"/>
    <w:basedOn w:val="Normal"/>
    <w:uiPriority w:val="34"/>
    <w:qFormat/>
    <w:rsid w:val="00AE3A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9.2367061927106364E-2"/>
          <c:y val="2.7705304278825789E-2"/>
          <c:w val="0.8604844543685819"/>
          <c:h val="0.92358803986710958"/>
        </c:manualLayout>
      </c:layout>
      <c:barChart>
        <c:barDir val="col"/>
        <c:grouping val="clustered"/>
        <c:ser>
          <c:idx val="0"/>
          <c:order val="0"/>
          <c:tx>
            <c:strRef>
              <c:f>Sheet1!$A$2</c:f>
              <c:strCache>
                <c:ptCount val="1"/>
                <c:pt idx="0">
                  <c:v>Enero-marzo</c:v>
                </c:pt>
              </c:strCache>
            </c:strRef>
          </c:tx>
          <c:spPr>
            <a:solidFill>
              <a:schemeClr val="accent6">
                <a:lumMod val="50000"/>
              </a:schemeClr>
            </a:solidFill>
            <a:ln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dPt>
            <c:idx val="0"/>
            <c:spPr>
              <a:solidFill>
                <a:srgbClr val="0070C0"/>
              </a:solidFill>
              <a:ln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1-C07E-48E6-A2BA-F68E1D04499D}"/>
              </c:ext>
            </c:extLst>
          </c:dPt>
          <c:dPt>
            <c:idx val="1"/>
            <c:spPr>
              <a:solidFill>
                <a:srgbClr val="FF0000"/>
              </a:solidFill>
              <a:ln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2-C07E-48E6-A2BA-F68E1D04499D}"/>
              </c:ext>
            </c:extLst>
          </c:dPt>
          <c:dPt>
            <c:idx val="2"/>
            <c:spPr>
              <a:solidFill>
                <a:srgbClr val="FF0000"/>
              </a:solidFill>
              <a:ln cmpd="sng">
                <a:solidFill>
                  <a:schemeClr val="tx1"/>
                </a:solidFill>
                <a:round/>
              </a:ln>
              <a:effectLst>
                <a:outerShdw blurRad="50800" dist="50800" dir="5400000" sx="96000" sy="96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3-C07E-48E6-A2BA-F68E1D04499D}"/>
              </c:ext>
            </c:extLst>
          </c:dPt>
          <c:dPt>
            <c:idx val="3"/>
            <c:spPr>
              <a:solidFill>
                <a:schemeClr val="accent6">
                  <a:lumMod val="40000"/>
                  <a:lumOff val="60000"/>
                </a:schemeClr>
              </a:solidFill>
              <a:ln w="19050"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0-C07E-48E6-A2BA-F68E1D04499D}"/>
              </c:ext>
            </c:extLst>
          </c:dPt>
          <c:dLbls>
            <c:spPr>
              <a:effectLst>
                <a:outerShdw blurRad="50800" dist="50800" dir="600000" algn="ctr" rotWithShape="0">
                  <a:srgbClr val="000000">
                    <a:alpha val="43137"/>
                  </a:srgbClr>
                </a:outerShdw>
              </a:effectLst>
            </c:spPr>
            <c:dLblPos val="outEnd"/>
            <c:showVal val="1"/>
          </c:dLbls>
          <c:cat>
            <c:strRef>
              <c:f>Sheet1!$B$1:$E$1</c:f>
              <c:strCache>
                <c:ptCount val="4"/>
                <c:pt idx="0">
                  <c:v>1 </c:v>
                </c:pt>
                <c:pt idx="1">
                  <c:v>2</c:v>
                </c:pt>
                <c:pt idx="2">
                  <c:v>3</c:v>
                </c:pt>
                <c:pt idx="3">
                  <c:v>TOTAL</c:v>
                </c:pt>
              </c:strCache>
            </c:strRef>
          </c:cat>
          <c:val>
            <c:numRef>
              <c:f>Sheet1!$B$2:$E$2</c:f>
              <c:numCache>
                <c:formatCode>0.0</c:formatCode>
                <c:ptCount val="4"/>
                <c:pt idx="1">
                  <c:v>46.15</c:v>
                </c:pt>
                <c:pt idx="2" formatCode="0.0;[Red]0.0">
                  <c:v>36.67</c:v>
                </c:pt>
                <c:pt idx="3">
                  <c:v>41.349999999999994</c:v>
                </c:pt>
              </c:numCache>
            </c:numRef>
          </c:val>
          <c:extLst xmlns:c16r2="http://schemas.microsoft.com/office/drawing/2015/06/chart">
            <c:ext xmlns:c16="http://schemas.microsoft.com/office/drawing/2014/chart" uri="{C3380CC4-5D6E-409C-BE32-E72D297353CC}">
              <c16:uniqueId val="{00000004-C07E-48E6-A2BA-F68E1D04499D}"/>
            </c:ext>
          </c:extLst>
        </c:ser>
        <c:gapWidth val="134"/>
        <c:axId val="105456384"/>
        <c:axId val="105458688"/>
      </c:barChart>
      <c:dateAx>
        <c:axId val="105456384"/>
        <c:scaling>
          <c:orientation val="minMax"/>
        </c:scaling>
        <c:axPos val="b"/>
        <c:numFmt formatCode="General" sourceLinked="0"/>
        <c:tickLblPos val="low"/>
        <c:spPr>
          <a:ln w="3175">
            <a:solidFill>
              <a:srgbClr val="000000"/>
            </a:solidFill>
            <a:prstDash val="solid"/>
          </a:ln>
        </c:spPr>
        <c:txPr>
          <a:bodyPr rot="0" vert="horz"/>
          <a:lstStyle/>
          <a:p>
            <a:pPr>
              <a:defRPr lang="es-ES" sz="700" b="1" i="0" u="none" strike="noStrike" baseline="0">
                <a:solidFill>
                  <a:srgbClr val="000000"/>
                </a:solidFill>
                <a:latin typeface="Arial"/>
                <a:ea typeface="Arial"/>
                <a:cs typeface="Arial"/>
              </a:defRPr>
            </a:pPr>
            <a:endParaRPr lang="es-SV"/>
          </a:p>
        </c:txPr>
        <c:crossAx val="105458688"/>
        <c:crosses val="autoZero"/>
        <c:lblOffset val="100"/>
        <c:baseTimeUnit val="days"/>
        <c:minorUnit val="1"/>
      </c:dateAx>
      <c:valAx>
        <c:axId val="105458688"/>
        <c:scaling>
          <c:orientation val="minMax"/>
          <c:max val="120"/>
          <c:min val="0"/>
        </c:scaling>
        <c:axPos val="l"/>
        <c:majorGridlines/>
        <c:title>
          <c:tx>
            <c:rich>
              <a:bodyPr rot="0" vert="wordArtVert"/>
              <a:lstStyle/>
              <a:p>
                <a:pPr algn="ctr">
                  <a:defRPr lang="es-ES" sz="800" b="1" i="0" u="none" strike="noStrike" baseline="0">
                    <a:solidFill>
                      <a:srgbClr val="000000"/>
                    </a:solidFill>
                    <a:latin typeface="Arial"/>
                    <a:ea typeface="Arial"/>
                    <a:cs typeface="Arial"/>
                  </a:defRPr>
                </a:pPr>
                <a:r>
                  <a:rPr lang="es-ES"/>
                  <a:t>PORCENTAJE</a:t>
                </a:r>
              </a:p>
            </c:rich>
          </c:tx>
          <c:layout>
            <c:manualLayout>
              <c:xMode val="edge"/>
              <c:yMode val="edge"/>
              <c:x val="1.2832077582342005E-2"/>
              <c:y val="0.16634647706552905"/>
            </c:manualLayout>
          </c:layout>
          <c:spPr>
            <a:noFill/>
            <a:ln w="25399">
              <a:noFill/>
            </a:ln>
          </c:spPr>
        </c:title>
        <c:numFmt formatCode="0;[Red]0" sourceLinked="0"/>
        <c:tickLblPos val="nextTo"/>
        <c:spPr>
          <a:ln w="3175">
            <a:solidFill>
              <a:srgbClr val="000000"/>
            </a:solidFill>
            <a:prstDash val="solid"/>
          </a:ln>
        </c:spPr>
        <c:txPr>
          <a:bodyPr rot="0" vert="horz"/>
          <a:lstStyle/>
          <a:p>
            <a:pPr>
              <a:defRPr lang="es-ES" sz="800" b="1" i="0" u="none" strike="noStrike" baseline="0">
                <a:solidFill>
                  <a:srgbClr val="000000"/>
                </a:solidFill>
                <a:latin typeface="Arial"/>
                <a:ea typeface="Arial"/>
                <a:cs typeface="Arial"/>
              </a:defRPr>
            </a:pPr>
            <a:endParaRPr lang="es-SV"/>
          </a:p>
        </c:txPr>
        <c:crossAx val="105456384"/>
        <c:crossesAt val="1"/>
        <c:crossBetween val="between"/>
        <c:majorUnit val="20"/>
        <c:minorUnit val="1"/>
      </c:valAx>
      <c:spPr>
        <a:noFill/>
      </c:spPr>
    </c:plotArea>
    <c:plotVisOnly val="1"/>
    <c:dispBlanksAs val="gap"/>
  </c:chart>
  <c:spPr>
    <a:ln w="12699">
      <a:solidFill>
        <a:srgbClr val="000000"/>
      </a:solidFill>
      <a:prstDash val="solid"/>
    </a:ln>
  </c:spPr>
  <c:txPr>
    <a:bodyPr/>
    <a:lstStyle/>
    <a:p>
      <a:pPr>
        <a:defRPr sz="1200" b="1" i="0" u="none" strike="noStrike" baseline="0">
          <a:solidFill>
            <a:srgbClr val="000000"/>
          </a:solidFill>
          <a:latin typeface="Arial"/>
          <a:ea typeface="Arial"/>
          <a:cs typeface="Arial"/>
        </a:defRPr>
      </a:pPr>
      <a:endParaRPr lang="es-SV"/>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9.2367061927106364E-2"/>
          <c:y val="2.7705304278825806E-2"/>
          <c:w val="0.86048445436858234"/>
          <c:h val="0.92358803986710958"/>
        </c:manualLayout>
      </c:layout>
      <c:barChart>
        <c:barDir val="col"/>
        <c:grouping val="clustered"/>
        <c:ser>
          <c:idx val="0"/>
          <c:order val="0"/>
          <c:tx>
            <c:strRef>
              <c:f>Sheet1!$A$2</c:f>
              <c:strCache>
                <c:ptCount val="1"/>
                <c:pt idx="0">
                  <c:v>Enero-marzo</c:v>
                </c:pt>
              </c:strCache>
            </c:strRef>
          </c:tx>
          <c:spPr>
            <a:solidFill>
              <a:schemeClr val="accent6">
                <a:lumMod val="50000"/>
              </a:schemeClr>
            </a:solidFill>
            <a:ln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dPt>
            <c:idx val="0"/>
            <c:spPr>
              <a:solidFill>
                <a:srgbClr val="FF0000"/>
              </a:solidFill>
              <a:ln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1-C07E-48E6-A2BA-F68E1D04499D}"/>
              </c:ext>
            </c:extLst>
          </c:dPt>
          <c:dPt>
            <c:idx val="1"/>
            <c:spPr>
              <a:solidFill>
                <a:srgbClr val="FF0000"/>
              </a:solidFill>
              <a:ln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2-C07E-48E6-A2BA-F68E1D04499D}"/>
              </c:ext>
            </c:extLst>
          </c:dPt>
          <c:dPt>
            <c:idx val="2"/>
            <c:spPr>
              <a:solidFill>
                <a:srgbClr val="FF0000"/>
              </a:solidFill>
              <a:ln cmpd="sng">
                <a:solidFill>
                  <a:schemeClr val="tx1"/>
                </a:solidFill>
                <a:round/>
              </a:ln>
              <a:effectLst>
                <a:outerShdw blurRad="50800" dist="50800" dir="5400000" sx="96000" sy="96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3-C07E-48E6-A2BA-F68E1D04499D}"/>
              </c:ext>
            </c:extLst>
          </c:dPt>
          <c:dPt>
            <c:idx val="3"/>
            <c:spPr>
              <a:solidFill>
                <a:schemeClr val="accent6">
                  <a:lumMod val="40000"/>
                  <a:lumOff val="60000"/>
                </a:schemeClr>
              </a:solidFill>
              <a:ln w="19050" cmpd="sng">
                <a:solidFill>
                  <a:schemeClr val="tx1"/>
                </a:solidFill>
              </a:ln>
              <a:effectLst>
                <a:outerShdw blurRad="50800" dist="50800" dir="5400000" algn="ctr" rotWithShape="0">
                  <a:srgbClr val="FF0000"/>
                </a:outerShdw>
              </a:effectLst>
              <a:scene3d>
                <a:camera prst="orthographicFront"/>
                <a:lightRig rig="threePt" dir="t"/>
              </a:scene3d>
              <a:sp3d>
                <a:bevelT h="25400"/>
              </a:sp3d>
            </c:spPr>
            <c:extLst xmlns:c16r2="http://schemas.microsoft.com/office/drawing/2015/06/chart">
              <c:ext xmlns:c16="http://schemas.microsoft.com/office/drawing/2014/chart" uri="{C3380CC4-5D6E-409C-BE32-E72D297353CC}">
                <c16:uniqueId val="{00000000-C07E-48E6-A2BA-F68E1D04499D}"/>
              </c:ext>
            </c:extLst>
          </c:dPt>
          <c:dLbls>
            <c:dLbl>
              <c:idx val="1"/>
              <c:layout>
                <c:manualLayout>
                  <c:x val="2.2163120567375953E-3"/>
                  <c:y val="-2.48062015503876E-2"/>
                </c:manualLayout>
              </c:layout>
              <c:dLblPos val="outEnd"/>
              <c:showVal val="1"/>
            </c:dLbl>
            <c:dLbl>
              <c:idx val="3"/>
              <c:layout>
                <c:manualLayout>
                  <c:x val="0"/>
                  <c:y val="3.1007751937984489E-2"/>
                </c:manualLayout>
              </c:layout>
              <c:dLblPos val="outEnd"/>
              <c:showVal val="1"/>
            </c:dLbl>
            <c:spPr>
              <a:effectLst>
                <a:outerShdw blurRad="50800" dist="50800" dir="600000" algn="ctr" rotWithShape="0">
                  <a:srgbClr val="000000">
                    <a:alpha val="43137"/>
                  </a:srgbClr>
                </a:outerShdw>
              </a:effectLst>
            </c:spPr>
            <c:dLblPos val="outEnd"/>
            <c:showVal val="1"/>
          </c:dLbls>
          <c:cat>
            <c:strRef>
              <c:f>Sheet1!$B$1:$E$1</c:f>
              <c:strCache>
                <c:ptCount val="4"/>
                <c:pt idx="0">
                  <c:v>1 </c:v>
                </c:pt>
                <c:pt idx="1">
                  <c:v>2</c:v>
                </c:pt>
                <c:pt idx="2">
                  <c:v>3</c:v>
                </c:pt>
                <c:pt idx="3">
                  <c:v>TOTAL</c:v>
                </c:pt>
              </c:strCache>
            </c:strRef>
          </c:cat>
          <c:val>
            <c:numRef>
              <c:f>Sheet1!$B$2:$E$2</c:f>
              <c:numCache>
                <c:formatCode>0.0</c:formatCode>
                <c:ptCount val="4"/>
                <c:pt idx="0" formatCode="0.0;[Red]0.0">
                  <c:v>100</c:v>
                </c:pt>
                <c:pt idx="1">
                  <c:v>32.5</c:v>
                </c:pt>
                <c:pt idx="2" formatCode="0.0;[Red]0.0">
                  <c:v>100</c:v>
                </c:pt>
                <c:pt idx="3">
                  <c:v>69</c:v>
                </c:pt>
              </c:numCache>
            </c:numRef>
          </c:val>
          <c:extLst xmlns:c16r2="http://schemas.microsoft.com/office/drawing/2015/06/chart">
            <c:ext xmlns:c16="http://schemas.microsoft.com/office/drawing/2014/chart" uri="{C3380CC4-5D6E-409C-BE32-E72D297353CC}">
              <c16:uniqueId val="{00000004-C07E-48E6-A2BA-F68E1D04499D}"/>
            </c:ext>
          </c:extLst>
        </c:ser>
        <c:gapWidth val="134"/>
        <c:axId val="107346176"/>
        <c:axId val="105419136"/>
      </c:barChart>
      <c:dateAx>
        <c:axId val="107346176"/>
        <c:scaling>
          <c:orientation val="minMax"/>
        </c:scaling>
        <c:axPos val="b"/>
        <c:numFmt formatCode="General" sourceLinked="0"/>
        <c:tickLblPos val="low"/>
        <c:spPr>
          <a:ln w="3175">
            <a:solidFill>
              <a:srgbClr val="000000"/>
            </a:solidFill>
            <a:prstDash val="solid"/>
          </a:ln>
        </c:spPr>
        <c:txPr>
          <a:bodyPr rot="0" vert="horz"/>
          <a:lstStyle/>
          <a:p>
            <a:pPr>
              <a:defRPr lang="es-ES" sz="700" b="1" i="0" u="none" strike="noStrike" baseline="0">
                <a:solidFill>
                  <a:srgbClr val="000000"/>
                </a:solidFill>
                <a:latin typeface="Arial"/>
                <a:ea typeface="Arial"/>
                <a:cs typeface="Arial"/>
              </a:defRPr>
            </a:pPr>
            <a:endParaRPr lang="es-SV"/>
          </a:p>
        </c:txPr>
        <c:crossAx val="105419136"/>
        <c:crosses val="autoZero"/>
        <c:lblOffset val="100"/>
        <c:baseTimeUnit val="days"/>
        <c:minorUnit val="1"/>
      </c:dateAx>
      <c:valAx>
        <c:axId val="105419136"/>
        <c:scaling>
          <c:orientation val="minMax"/>
          <c:max val="120"/>
          <c:min val="0"/>
        </c:scaling>
        <c:axPos val="l"/>
        <c:majorGridlines/>
        <c:title>
          <c:tx>
            <c:rich>
              <a:bodyPr rot="0" vert="wordArtVert"/>
              <a:lstStyle/>
              <a:p>
                <a:pPr algn="ctr">
                  <a:defRPr lang="es-ES" sz="800" b="1" i="0" u="none" strike="noStrike" baseline="0">
                    <a:solidFill>
                      <a:srgbClr val="000000"/>
                    </a:solidFill>
                    <a:latin typeface="Arial"/>
                    <a:ea typeface="Arial"/>
                    <a:cs typeface="Arial"/>
                  </a:defRPr>
                </a:pPr>
                <a:r>
                  <a:rPr lang="es-ES"/>
                  <a:t>PORCENTAJE</a:t>
                </a:r>
              </a:p>
            </c:rich>
          </c:tx>
          <c:layout>
            <c:manualLayout>
              <c:xMode val="edge"/>
              <c:yMode val="edge"/>
              <c:x val="1.2832077582342005E-2"/>
              <c:y val="0.16634647706552894"/>
            </c:manualLayout>
          </c:layout>
          <c:spPr>
            <a:noFill/>
            <a:ln w="25399">
              <a:noFill/>
            </a:ln>
          </c:spPr>
        </c:title>
        <c:numFmt formatCode="0;[Red]0" sourceLinked="0"/>
        <c:tickLblPos val="nextTo"/>
        <c:spPr>
          <a:ln w="3175">
            <a:solidFill>
              <a:srgbClr val="000000"/>
            </a:solidFill>
            <a:prstDash val="solid"/>
          </a:ln>
        </c:spPr>
        <c:txPr>
          <a:bodyPr rot="0" vert="horz"/>
          <a:lstStyle/>
          <a:p>
            <a:pPr>
              <a:defRPr lang="es-ES" sz="800" b="1" i="0" u="none" strike="noStrike" baseline="0">
                <a:solidFill>
                  <a:srgbClr val="000000"/>
                </a:solidFill>
                <a:latin typeface="Arial"/>
                <a:ea typeface="Arial"/>
                <a:cs typeface="Arial"/>
              </a:defRPr>
            </a:pPr>
            <a:endParaRPr lang="es-SV"/>
          </a:p>
        </c:txPr>
        <c:crossAx val="107346176"/>
        <c:crossesAt val="1"/>
        <c:crossBetween val="between"/>
        <c:majorUnit val="20"/>
        <c:minorUnit val="1"/>
      </c:valAx>
      <c:spPr>
        <a:noFill/>
      </c:spPr>
    </c:plotArea>
    <c:plotVisOnly val="1"/>
    <c:dispBlanksAs val="gap"/>
  </c:chart>
  <c:spPr>
    <a:ln w="12699">
      <a:solidFill>
        <a:srgbClr val="000000"/>
      </a:solidFill>
      <a:prstDash val="solid"/>
    </a:ln>
  </c:spPr>
  <c:txPr>
    <a:bodyPr/>
    <a:lstStyle/>
    <a:p>
      <a:pPr>
        <a:defRPr sz="1200" b="1" i="0" u="none" strike="noStrike" baseline="0">
          <a:solidFill>
            <a:srgbClr val="000000"/>
          </a:solidFill>
          <a:latin typeface="Arial"/>
          <a:ea typeface="Arial"/>
          <a:cs typeface="Arial"/>
        </a:defRPr>
      </a:pPr>
      <a:endParaRPr lang="es-SV"/>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889</Words>
  <Characters>4891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aarteaga</dc:creator>
  <cp:lastModifiedBy>aarteaga</cp:lastModifiedBy>
  <cp:revision>3</cp:revision>
  <dcterms:created xsi:type="dcterms:W3CDTF">2019-08-12T14:57:00Z</dcterms:created>
  <dcterms:modified xsi:type="dcterms:W3CDTF">2019-08-12T15:04:00Z</dcterms:modified>
</cp:coreProperties>
</file>