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E0B" w:rsidRPr="00AC2DFE" w:rsidRDefault="00B63E0B" w:rsidP="00B63E0B">
      <w:pPr>
        <w:tabs>
          <w:tab w:val="left" w:pos="3969"/>
          <w:tab w:val="left" w:pos="4860"/>
        </w:tabs>
        <w:spacing w:after="0" w:line="232" w:lineRule="auto"/>
        <w:ind w:right="-46"/>
        <w:jc w:val="center"/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</w:pPr>
      <w:r w:rsidRPr="00AC2DFE">
        <w:rPr>
          <w:rFonts w:ascii="Arial" w:eastAsia="Times New Roman" w:hAnsi="Arial" w:cs="Arial"/>
          <w:b/>
          <w:bCs/>
          <w:sz w:val="24"/>
          <w:szCs w:val="24"/>
          <w:lang w:val="es-ES" w:eastAsia="es-ES"/>
        </w:rPr>
        <w:t>MINISTERIO DE AGRICULTURA Y GANADERIA</w:t>
      </w:r>
    </w:p>
    <w:p w:rsidR="00B63E0B" w:rsidRPr="00AC2DFE" w:rsidRDefault="00B63E0B" w:rsidP="00B63E0B">
      <w:pPr>
        <w:spacing w:after="0" w:line="232" w:lineRule="auto"/>
        <w:jc w:val="center"/>
        <w:rPr>
          <w:rFonts w:ascii="Arial" w:eastAsia="Times New Roman" w:hAnsi="Arial" w:cs="Arial"/>
          <w:b/>
          <w:sz w:val="24"/>
          <w:szCs w:val="20"/>
          <w:lang w:val="es-MX" w:eastAsia="es-ES"/>
        </w:rPr>
      </w:pPr>
      <w:r w:rsidRPr="00AC2DFE">
        <w:rPr>
          <w:rFonts w:ascii="Arial" w:eastAsia="Times New Roman" w:hAnsi="Arial" w:cs="Arial"/>
          <w:b/>
          <w:sz w:val="24"/>
          <w:szCs w:val="20"/>
          <w:lang w:val="es-MX" w:eastAsia="es-ES"/>
        </w:rPr>
        <w:t>OFICINA DE POLITICAS Y PLANIFICACION SECTORIAL</w:t>
      </w:r>
    </w:p>
    <w:p w:rsidR="00B63E0B" w:rsidRPr="00AC2DFE" w:rsidRDefault="00B63E0B" w:rsidP="00B63E0B">
      <w:pPr>
        <w:keepNext/>
        <w:spacing w:after="0" w:line="232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es-ES" w:eastAsia="es-ES"/>
        </w:rPr>
      </w:pPr>
      <w:r w:rsidRPr="00AC2DFE">
        <w:rPr>
          <w:rFonts w:ascii="Arial" w:eastAsia="Times New Roman" w:hAnsi="Arial" w:cs="Times New Roman"/>
          <w:b/>
          <w:bCs/>
          <w:sz w:val="24"/>
          <w:szCs w:val="24"/>
          <w:lang w:val="es-ES" w:eastAsia="es-ES"/>
        </w:rPr>
        <w:t>DIVISION DE SEGUIMIENTO Y EVALUACION</w:t>
      </w:r>
    </w:p>
    <w:p w:rsidR="00B63E0B" w:rsidRPr="00AC2DFE" w:rsidRDefault="00B63E0B" w:rsidP="00B63E0B">
      <w:pPr>
        <w:spacing w:after="0" w:line="232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B63E0B" w:rsidRPr="00AC2DFE" w:rsidRDefault="00B63E0B" w:rsidP="00B63E0B">
      <w:pPr>
        <w:keepNext/>
        <w:spacing w:after="0" w:line="232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es-ES" w:eastAsia="es-ES"/>
        </w:rPr>
      </w:pPr>
      <w:r w:rsidRPr="00AC2DFE">
        <w:rPr>
          <w:rFonts w:ascii="Arial" w:eastAsia="Times New Roman" w:hAnsi="Arial" w:cs="Times New Roman"/>
          <w:b/>
          <w:bCs/>
          <w:sz w:val="24"/>
          <w:szCs w:val="24"/>
          <w:lang w:val="es-ES" w:eastAsia="es-ES"/>
        </w:rPr>
        <w:t>INFORME DE SEGUIMIENTO DEL AVANCE FISICO DEL POA 201</w:t>
      </w:r>
      <w:r>
        <w:rPr>
          <w:rFonts w:ascii="Arial" w:eastAsia="Times New Roman" w:hAnsi="Arial" w:cs="Times New Roman"/>
          <w:b/>
          <w:bCs/>
          <w:sz w:val="24"/>
          <w:szCs w:val="24"/>
          <w:lang w:val="es-ES" w:eastAsia="es-ES"/>
        </w:rPr>
        <w:t>9</w:t>
      </w:r>
    </w:p>
    <w:p w:rsidR="00B63E0B" w:rsidRPr="00AC2DFE" w:rsidRDefault="00B63E0B" w:rsidP="00B63E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B63E0B" w:rsidRPr="00321DF2" w:rsidRDefault="00B63E0B" w:rsidP="00B63E0B">
      <w:pPr>
        <w:tabs>
          <w:tab w:val="left" w:pos="1440"/>
          <w:tab w:val="left" w:pos="1980"/>
        </w:tabs>
        <w:spacing w:before="240" w:after="0" w:line="232" w:lineRule="auto"/>
        <w:ind w:left="1985" w:hanging="1985"/>
        <w:jc w:val="both"/>
        <w:rPr>
          <w:rFonts w:ascii="Arial" w:eastAsia="Times New Roman" w:hAnsi="Arial" w:cs="Arial"/>
          <w:szCs w:val="24"/>
          <w:lang w:val="es-ES" w:eastAsia="es-ES"/>
        </w:rPr>
      </w:pPr>
      <w:r w:rsidRPr="00321DF2">
        <w:rPr>
          <w:rFonts w:ascii="Arial" w:eastAsia="Times New Roman" w:hAnsi="Arial" w:cs="Arial"/>
          <w:b/>
          <w:lang w:val="es-ES" w:eastAsia="es-ES"/>
        </w:rPr>
        <w:t>DEPENDENCIA</w:t>
      </w:r>
      <w:r w:rsidRPr="00321DF2">
        <w:rPr>
          <w:rFonts w:ascii="Arial" w:eastAsia="Times New Roman" w:hAnsi="Arial" w:cs="Arial"/>
          <w:lang w:val="es-ES" w:eastAsia="es-ES"/>
        </w:rPr>
        <w:t>:</w:t>
      </w:r>
      <w:r w:rsidRPr="00321DF2">
        <w:rPr>
          <w:rFonts w:ascii="Arial" w:eastAsia="Times New Roman" w:hAnsi="Arial" w:cs="Arial"/>
          <w:lang w:val="es-ES" w:eastAsia="es-ES"/>
        </w:rPr>
        <w:tab/>
      </w:r>
      <w:r w:rsidRPr="00321DF2">
        <w:rPr>
          <w:rFonts w:ascii="Arial" w:eastAsia="Times New Roman" w:hAnsi="Arial" w:cs="Arial"/>
          <w:szCs w:val="24"/>
          <w:lang w:val="es-ES" w:eastAsia="es-ES"/>
        </w:rPr>
        <w:t>Dirección General de Desarrollo de la Pesca y la Acuicultura (</w:t>
      </w:r>
      <w:r w:rsidRPr="00321DF2">
        <w:rPr>
          <w:rFonts w:ascii="Arial" w:eastAsia="Times New Roman" w:hAnsi="Arial" w:cs="Arial"/>
          <w:b/>
          <w:szCs w:val="24"/>
          <w:lang w:val="es-ES" w:eastAsia="es-ES"/>
        </w:rPr>
        <w:t>CENDEPESCA</w:t>
      </w:r>
      <w:r w:rsidRPr="00321DF2">
        <w:rPr>
          <w:rFonts w:ascii="Arial" w:eastAsia="Times New Roman" w:hAnsi="Arial" w:cs="Arial"/>
          <w:szCs w:val="24"/>
          <w:lang w:val="es-ES" w:eastAsia="es-ES"/>
        </w:rPr>
        <w:t>)</w:t>
      </w:r>
    </w:p>
    <w:p w:rsidR="00B63E0B" w:rsidRPr="00321DF2" w:rsidRDefault="00B63E0B" w:rsidP="00B63E0B">
      <w:pPr>
        <w:tabs>
          <w:tab w:val="left" w:pos="1440"/>
          <w:tab w:val="left" w:pos="1980"/>
        </w:tabs>
        <w:spacing w:after="0" w:line="232" w:lineRule="auto"/>
        <w:jc w:val="both"/>
        <w:rPr>
          <w:rFonts w:ascii="Arial" w:eastAsia="Times New Roman" w:hAnsi="Arial" w:cs="Arial"/>
          <w:b/>
          <w:lang w:val="es-ES" w:eastAsia="es-ES"/>
        </w:rPr>
      </w:pPr>
    </w:p>
    <w:p w:rsidR="00B63E0B" w:rsidRPr="00321DF2" w:rsidRDefault="00B63E0B" w:rsidP="00B63E0B">
      <w:pPr>
        <w:tabs>
          <w:tab w:val="left" w:pos="1440"/>
          <w:tab w:val="left" w:pos="1980"/>
        </w:tabs>
        <w:spacing w:after="0" w:line="232" w:lineRule="auto"/>
        <w:jc w:val="both"/>
        <w:rPr>
          <w:rFonts w:ascii="Arial" w:eastAsia="Times New Roman" w:hAnsi="Arial" w:cs="Arial"/>
          <w:lang w:val="es-ES" w:eastAsia="es-ES"/>
        </w:rPr>
      </w:pPr>
      <w:r w:rsidRPr="00321DF2">
        <w:rPr>
          <w:rFonts w:ascii="Arial" w:eastAsia="Times New Roman" w:hAnsi="Arial" w:cs="Arial"/>
          <w:b/>
          <w:lang w:val="es-ES" w:eastAsia="es-ES"/>
        </w:rPr>
        <w:t>TRIMESTRE:</w:t>
      </w:r>
      <w:r w:rsidRPr="00321DF2">
        <w:rPr>
          <w:rFonts w:ascii="Arial" w:eastAsia="Times New Roman" w:hAnsi="Arial" w:cs="Arial"/>
          <w:lang w:val="es-ES" w:eastAsia="es-ES"/>
        </w:rPr>
        <w:tab/>
      </w:r>
      <w:r w:rsidRPr="00321DF2">
        <w:rPr>
          <w:rFonts w:ascii="Arial" w:eastAsia="Times New Roman" w:hAnsi="Arial" w:cs="Arial"/>
          <w:lang w:val="es-ES" w:eastAsia="es-ES"/>
        </w:rPr>
        <w:tab/>
      </w:r>
      <w:r w:rsidR="00B00FB8" w:rsidRPr="00321DF2">
        <w:rPr>
          <w:rFonts w:ascii="Arial" w:eastAsia="Times New Roman" w:hAnsi="Arial" w:cs="Arial"/>
          <w:lang w:val="es-ES" w:eastAsia="es-ES"/>
        </w:rPr>
        <w:t>abril</w:t>
      </w:r>
      <w:r w:rsidRPr="00321DF2">
        <w:rPr>
          <w:rFonts w:ascii="Arial" w:eastAsia="Times New Roman" w:hAnsi="Arial" w:cs="Arial"/>
          <w:lang w:val="es-ES" w:eastAsia="es-ES"/>
        </w:rPr>
        <w:t>-</w:t>
      </w:r>
      <w:r w:rsidR="00B00FB8" w:rsidRPr="00321DF2">
        <w:rPr>
          <w:rFonts w:ascii="Arial" w:eastAsia="Times New Roman" w:hAnsi="Arial" w:cs="Arial"/>
          <w:lang w:val="es-ES" w:eastAsia="es-ES"/>
        </w:rPr>
        <w:t>junio</w:t>
      </w:r>
      <w:r w:rsidRPr="00321DF2">
        <w:rPr>
          <w:rFonts w:ascii="Arial" w:eastAsia="Times New Roman" w:hAnsi="Arial" w:cs="Arial"/>
          <w:lang w:val="es-ES" w:eastAsia="es-ES"/>
        </w:rPr>
        <w:t xml:space="preserve"> </w:t>
      </w:r>
    </w:p>
    <w:p w:rsidR="00B63E0B" w:rsidRPr="00321DF2" w:rsidRDefault="00B63E0B" w:rsidP="00B63E0B">
      <w:pPr>
        <w:tabs>
          <w:tab w:val="left" w:pos="1440"/>
          <w:tab w:val="left" w:pos="1980"/>
        </w:tabs>
        <w:spacing w:after="0" w:line="232" w:lineRule="auto"/>
        <w:jc w:val="both"/>
        <w:rPr>
          <w:rFonts w:ascii="Arial" w:eastAsia="Times New Roman" w:hAnsi="Arial" w:cs="Arial"/>
          <w:lang w:val="es-ES" w:eastAsia="es-ES"/>
        </w:rPr>
      </w:pPr>
    </w:p>
    <w:p w:rsidR="00B63E0B" w:rsidRPr="00321DF2" w:rsidRDefault="00B63E0B" w:rsidP="00B63E0B">
      <w:pPr>
        <w:tabs>
          <w:tab w:val="left" w:pos="1985"/>
        </w:tabs>
        <w:spacing w:after="0" w:line="240" w:lineRule="auto"/>
        <w:rPr>
          <w:rFonts w:ascii="Arial" w:eastAsia="Times New Roman" w:hAnsi="Arial" w:cs="Arial"/>
          <w:b/>
          <w:lang w:val="es-ES" w:eastAsia="es-ES"/>
        </w:rPr>
      </w:pPr>
      <w:r w:rsidRPr="00321DF2">
        <w:rPr>
          <w:rFonts w:ascii="Arial" w:eastAsia="Times New Roman" w:hAnsi="Arial" w:cs="Arial"/>
          <w:b/>
          <w:lang w:val="es-ES" w:eastAsia="es-ES"/>
        </w:rPr>
        <w:t>PERIODO:</w:t>
      </w:r>
      <w:r w:rsidRPr="00321DF2">
        <w:rPr>
          <w:rFonts w:ascii="Arial" w:eastAsia="Times New Roman" w:hAnsi="Arial" w:cs="Arial"/>
          <w:b/>
          <w:lang w:val="es-ES" w:eastAsia="es-ES"/>
        </w:rPr>
        <w:tab/>
      </w:r>
      <w:r w:rsidRPr="00321DF2">
        <w:rPr>
          <w:rFonts w:ascii="Arial" w:eastAsia="Times New Roman" w:hAnsi="Arial" w:cs="Arial"/>
          <w:lang w:val="es-ES" w:eastAsia="es-ES"/>
        </w:rPr>
        <w:t>enero-</w:t>
      </w:r>
      <w:r w:rsidR="00B00FB8" w:rsidRPr="00321DF2">
        <w:rPr>
          <w:rFonts w:ascii="Arial" w:eastAsia="Times New Roman" w:hAnsi="Arial" w:cs="Arial"/>
          <w:lang w:val="es-ES" w:eastAsia="es-ES"/>
        </w:rPr>
        <w:t>junio</w:t>
      </w:r>
    </w:p>
    <w:p w:rsidR="00B63E0B" w:rsidRPr="00321DF2" w:rsidRDefault="00B63E0B" w:rsidP="00B63E0B">
      <w:pPr>
        <w:spacing w:after="0" w:line="240" w:lineRule="auto"/>
        <w:rPr>
          <w:rFonts w:ascii="Arial" w:eastAsia="Times New Roman" w:hAnsi="Arial" w:cs="Arial"/>
          <w:b/>
          <w:lang w:val="es-ES" w:eastAsia="es-ES"/>
        </w:rPr>
      </w:pPr>
    </w:p>
    <w:p w:rsidR="00B63E0B" w:rsidRPr="00321DF2" w:rsidRDefault="00B63E0B" w:rsidP="00B63E0B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lang w:val="es-ES" w:eastAsia="es-ES"/>
        </w:rPr>
        <w:t xml:space="preserve">I. </w:t>
      </w:r>
      <w:r w:rsidRPr="00321DF2">
        <w:rPr>
          <w:rFonts w:ascii="Arial" w:eastAsia="Times New Roman" w:hAnsi="Arial" w:cs="Arial"/>
          <w:b/>
          <w:bCs/>
          <w:lang w:val="es-ES" w:eastAsia="es-ES"/>
        </w:rPr>
        <w:tab/>
        <w:t xml:space="preserve">AVANCE FISICO ALCANZADO EN EL </w:t>
      </w:r>
      <w:r w:rsidR="00B00FB8" w:rsidRPr="00321DF2">
        <w:rPr>
          <w:rFonts w:ascii="Arial" w:eastAsia="Times New Roman" w:hAnsi="Arial" w:cs="Arial"/>
          <w:b/>
          <w:bCs/>
          <w:lang w:val="es-ES" w:eastAsia="es-ES"/>
        </w:rPr>
        <w:t>SEGUNDO</w:t>
      </w:r>
      <w:r w:rsidRPr="00321DF2">
        <w:rPr>
          <w:rFonts w:ascii="Arial" w:eastAsia="Times New Roman" w:hAnsi="Arial" w:cs="Arial"/>
          <w:b/>
          <w:bCs/>
          <w:lang w:val="es-ES" w:eastAsia="es-ES"/>
        </w:rPr>
        <w:t xml:space="preserve"> TRIMESTRE DE 2019.</w:t>
      </w:r>
    </w:p>
    <w:p w:rsidR="00B63E0B" w:rsidRPr="00321DF2" w:rsidRDefault="00B63E0B" w:rsidP="00B63E0B">
      <w:pPr>
        <w:spacing w:after="0" w:line="240" w:lineRule="auto"/>
        <w:jc w:val="both"/>
        <w:rPr>
          <w:rFonts w:ascii="Arial" w:eastAsia="Times New Roman" w:hAnsi="Arial" w:cs="Arial"/>
          <w:bCs/>
          <w:color w:val="548DD4"/>
          <w:szCs w:val="24"/>
          <w:lang w:val="es-ES" w:eastAsia="es-ES"/>
        </w:rPr>
      </w:pPr>
    </w:p>
    <w:p w:rsidR="00B63E0B" w:rsidRPr="00F94817" w:rsidRDefault="00F94817" w:rsidP="00B63E0B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  <w:r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Según el análisis y tabulación hecha al informe del segundo trimestre </w:t>
      </w:r>
      <w:r w:rsidR="00B63E0B"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comprendido de </w:t>
      </w:r>
      <w:r w:rsidR="00B00FB8" w:rsidRPr="00F94817">
        <w:rPr>
          <w:rFonts w:ascii="Arial" w:eastAsia="Times New Roman" w:hAnsi="Arial" w:cs="Arial"/>
          <w:b/>
          <w:color w:val="FF0000"/>
          <w:lang w:val="es-ES" w:eastAsia="es-ES"/>
        </w:rPr>
        <w:t>abril</w:t>
      </w:r>
      <w:r w:rsidR="00B63E0B"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a </w:t>
      </w:r>
      <w:r w:rsidR="00B00FB8" w:rsidRPr="00F94817">
        <w:rPr>
          <w:rFonts w:ascii="Arial" w:eastAsia="Times New Roman" w:hAnsi="Arial" w:cs="Arial"/>
          <w:b/>
          <w:color w:val="FF0000"/>
          <w:lang w:val="es-ES" w:eastAsia="es-ES"/>
        </w:rPr>
        <w:t>junio</w:t>
      </w:r>
      <w:r w:rsidR="00B63E0B"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de 2019, CENDEPESCA, logró un avance físico de </w:t>
      </w:r>
      <w:r w:rsidR="00B00FB8" w:rsidRPr="00F94817">
        <w:rPr>
          <w:rFonts w:ascii="Arial" w:eastAsia="Times New Roman" w:hAnsi="Arial" w:cs="Arial"/>
          <w:b/>
          <w:color w:val="FF0000"/>
          <w:lang w:val="es-ES" w:eastAsia="es-ES"/>
        </w:rPr>
        <w:t>70.8</w:t>
      </w:r>
      <w:r w:rsidR="00B63E0B"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%, calificado como </w:t>
      </w:r>
      <w:proofErr w:type="gramStart"/>
      <w:r w:rsidR="00D923AE" w:rsidRPr="00F94817">
        <w:rPr>
          <w:rFonts w:ascii="Arial" w:eastAsia="Times New Roman" w:hAnsi="Arial" w:cs="Arial"/>
          <w:b/>
          <w:color w:val="FF0000"/>
          <w:lang w:val="es-ES" w:eastAsia="es-ES"/>
        </w:rPr>
        <w:t>Deficiente</w:t>
      </w:r>
      <w:r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,</w:t>
      </w:r>
      <w:proofErr w:type="gramEnd"/>
      <w:r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producto de los resultados</w:t>
      </w:r>
      <w:r w:rsidRPr="00F94817">
        <w:rPr>
          <w:rFonts w:ascii="Arial" w:eastAsia="Times New Roman" w:hAnsi="Arial" w:cs="Arial"/>
          <w:b/>
          <w:color w:val="FF0000"/>
          <w:sz w:val="20"/>
          <w:szCs w:val="20"/>
          <w:lang w:eastAsia="es-SV"/>
        </w:rPr>
        <w:t xml:space="preserve"> Desarrollo y fomento del sub-sector pesquero,</w:t>
      </w:r>
      <w:r w:rsidRPr="00F9481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F94817">
        <w:rPr>
          <w:rFonts w:ascii="Arial" w:eastAsia="Times New Roman" w:hAnsi="Arial" w:cs="Arial"/>
          <w:b/>
          <w:color w:val="FF0000"/>
          <w:sz w:val="20"/>
          <w:szCs w:val="20"/>
          <w:lang w:eastAsia="es-SV"/>
        </w:rPr>
        <w:t>Desarrollo de la investigación y transferencia de nuevas tecnologías de pesca y acuicultura y Desarrollo y fomento del sub-sector acuícola;</w:t>
      </w:r>
      <w:r w:rsidR="00B63E0B" w:rsidRPr="00F94817">
        <w:rPr>
          <w:rFonts w:ascii="Arial" w:eastAsia="Times New Roman" w:hAnsi="Arial" w:cs="Arial"/>
          <w:b/>
          <w:color w:val="FF0000"/>
          <w:lang w:val="es-ES" w:eastAsia="es-ES"/>
        </w:rPr>
        <w:t xml:space="preserve"> (ver gráfico 1). </w:t>
      </w:r>
    </w:p>
    <w:p w:rsidR="00822BC1" w:rsidRPr="00321DF2" w:rsidRDefault="000B3DF4" w:rsidP="00B63E0B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>.</w:t>
      </w:r>
    </w:p>
    <w:p w:rsidR="00B63E0B" w:rsidRPr="00321DF2" w:rsidRDefault="00B63E0B" w:rsidP="00B27665">
      <w:pPr>
        <w:spacing w:after="0" w:line="228" w:lineRule="auto"/>
        <w:ind w:left="851" w:hanging="851"/>
        <w:jc w:val="both"/>
        <w:rPr>
          <w:rFonts w:ascii="Arial" w:eastAsia="Times New Roman" w:hAnsi="Arial" w:cs="Arial"/>
          <w:sz w:val="20"/>
          <w:szCs w:val="16"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sz w:val="20"/>
          <w:szCs w:val="16"/>
          <w:lang w:val="es-ES" w:eastAsia="es-ES"/>
        </w:rPr>
        <w:t>Gráfico 1.</w:t>
      </w:r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 xml:space="preserve"> Avance físico en porcentaje por Re</w:t>
      </w:r>
      <w:r w:rsidR="00A72105" w:rsidRPr="00321DF2">
        <w:rPr>
          <w:rFonts w:ascii="Arial" w:eastAsia="Times New Roman" w:hAnsi="Arial" w:cs="Arial"/>
          <w:sz w:val="20"/>
          <w:szCs w:val="16"/>
          <w:lang w:val="es-ES" w:eastAsia="es-ES"/>
        </w:rPr>
        <w:t>sultados</w:t>
      </w:r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 xml:space="preserve"> y total Institución en el trimestre </w:t>
      </w:r>
      <w:proofErr w:type="spellStart"/>
      <w:r w:rsidR="00B00FB8" w:rsidRPr="00321DF2">
        <w:rPr>
          <w:rFonts w:ascii="Arial" w:eastAsia="Times New Roman" w:hAnsi="Arial" w:cs="Arial"/>
          <w:sz w:val="20"/>
          <w:szCs w:val="16"/>
          <w:lang w:val="es-ES" w:eastAsia="es-ES"/>
        </w:rPr>
        <w:t>abrl</w:t>
      </w:r>
      <w:proofErr w:type="spellEnd"/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>-</w:t>
      </w:r>
      <w:r w:rsidR="00B00FB8" w:rsidRPr="00321DF2">
        <w:rPr>
          <w:rFonts w:ascii="Arial" w:eastAsia="Times New Roman" w:hAnsi="Arial" w:cs="Arial"/>
          <w:sz w:val="20"/>
          <w:szCs w:val="16"/>
          <w:lang w:val="es-ES" w:eastAsia="es-ES"/>
        </w:rPr>
        <w:t>junio</w:t>
      </w:r>
      <w:r w:rsidR="00A72105" w:rsidRPr="00321DF2">
        <w:rPr>
          <w:rFonts w:ascii="Arial" w:eastAsia="Times New Roman" w:hAnsi="Arial" w:cs="Arial"/>
          <w:sz w:val="20"/>
          <w:szCs w:val="16"/>
          <w:lang w:val="es-ES" w:eastAsia="es-ES"/>
        </w:rPr>
        <w:t xml:space="preserve"> </w:t>
      </w:r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>de 201</w:t>
      </w:r>
      <w:r w:rsidR="00A72105" w:rsidRPr="00321DF2">
        <w:rPr>
          <w:rFonts w:ascii="Arial" w:eastAsia="Times New Roman" w:hAnsi="Arial" w:cs="Arial"/>
          <w:sz w:val="20"/>
          <w:szCs w:val="16"/>
          <w:lang w:val="es-ES" w:eastAsia="es-ES"/>
        </w:rPr>
        <w:t>9</w:t>
      </w:r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>.</w:t>
      </w:r>
    </w:p>
    <w:p w:rsidR="003F35BF" w:rsidRPr="00321DF2" w:rsidRDefault="003F35BF" w:rsidP="00F7709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-142"/>
        </w:tabs>
        <w:spacing w:after="0" w:line="228" w:lineRule="auto"/>
        <w:ind w:left="426" w:hanging="426"/>
        <w:jc w:val="both"/>
        <w:rPr>
          <w:rFonts w:ascii="Arial" w:eastAsia="Times New Roman" w:hAnsi="Arial" w:cs="Arial"/>
          <w:sz w:val="24"/>
          <w:lang w:val="es-ES" w:eastAsia="es-ES"/>
        </w:rPr>
      </w:pPr>
      <w:r w:rsidRPr="00321DF2">
        <w:rPr>
          <w:rFonts w:ascii="Arial" w:hAnsi="Arial" w:cs="Arial"/>
          <w:noProof/>
          <w:lang w:eastAsia="es-SV"/>
        </w:rPr>
        <w:drawing>
          <wp:inline distT="0" distB="0" distL="0" distR="0">
            <wp:extent cx="5543550" cy="2362200"/>
            <wp:effectExtent l="19050" t="0" r="19050" b="0"/>
            <wp:docPr id="2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D18AE" w:rsidRPr="00321DF2" w:rsidRDefault="00B63E0B" w:rsidP="009A3F97">
      <w:pPr>
        <w:spacing w:after="0"/>
        <w:ind w:right="49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321DF2">
        <w:rPr>
          <w:rFonts w:ascii="Arial" w:eastAsia="Times New Roman" w:hAnsi="Arial" w:cs="Arial"/>
          <w:b/>
          <w:sz w:val="18"/>
          <w:szCs w:val="20"/>
          <w:lang w:val="es-ES" w:eastAsia="es-ES"/>
        </w:rPr>
        <w:t xml:space="preserve">Simbología: </w:t>
      </w:r>
      <w:r w:rsidR="001D18AE" w:rsidRPr="00321DF2">
        <w:rPr>
          <w:rFonts w:ascii="Arial" w:eastAsia="Times New Roman" w:hAnsi="Arial" w:cs="Arial"/>
          <w:b/>
          <w:sz w:val="18"/>
          <w:szCs w:val="20"/>
          <w:lang w:val="es-ES" w:eastAsia="es-ES"/>
        </w:rPr>
        <w:t xml:space="preserve">1.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Administración y ordenamiento de la pesca y la acuicultura;</w:t>
      </w:r>
      <w:r w:rsidR="00941B0B"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="001D18AE" w:rsidRPr="00321DF2">
        <w:rPr>
          <w:rFonts w:ascii="Arial" w:hAnsi="Arial" w:cs="Arial"/>
          <w:color w:val="000000"/>
          <w:sz w:val="20"/>
          <w:szCs w:val="20"/>
        </w:rPr>
        <w:t xml:space="preserve">2.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Desarrollo y fomento del sub-sector acuícola;</w:t>
      </w:r>
      <w:r w:rsidR="001D18AE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3</w:t>
      </w:r>
      <w:r w:rsidR="001D18AE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.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Desarrollo y fomento del sub-sector pesquero;</w:t>
      </w:r>
      <w:r w:rsidR="009A3F97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4.</w:t>
      </w:r>
      <w:r w:rsidR="00941B0B" w:rsidRPr="00321DF2">
        <w:rPr>
          <w:rFonts w:ascii="Arial" w:hAnsi="Arial" w:cs="Arial"/>
          <w:sz w:val="20"/>
          <w:szCs w:val="20"/>
        </w:rPr>
        <w:t xml:space="preserve"> </w:t>
      </w:r>
      <w:r w:rsidR="00941B0B" w:rsidRPr="00321DF2">
        <w:rPr>
          <w:rFonts w:ascii="Arial" w:eastAsia="Times New Roman" w:hAnsi="Arial" w:cs="Arial"/>
          <w:sz w:val="20"/>
          <w:szCs w:val="20"/>
          <w:lang w:eastAsia="es-SV"/>
        </w:rPr>
        <w:t>Desarrollo de la acuicultura familiar:</w:t>
      </w:r>
      <w:r w:rsidR="009A3F97" w:rsidRPr="00321DF2">
        <w:rPr>
          <w:rFonts w:ascii="Arial" w:eastAsia="Times New Roman" w:hAnsi="Arial" w:cs="Arial"/>
          <w:sz w:val="20"/>
          <w:szCs w:val="20"/>
          <w:lang w:eastAsia="es-SV"/>
        </w:rPr>
        <w:t xml:space="preserve"> </w:t>
      </w:r>
      <w:r w:rsidR="00941B0B" w:rsidRPr="00321DF2">
        <w:rPr>
          <w:rFonts w:ascii="Arial" w:eastAsia="Times New Roman" w:hAnsi="Arial" w:cs="Arial"/>
          <w:sz w:val="20"/>
          <w:szCs w:val="20"/>
          <w:lang w:eastAsia="es-SV"/>
        </w:rPr>
        <w:t>5.</w:t>
      </w:r>
      <w:r w:rsidR="00941B0B"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Desarrollo de la investigación y transferencia de nuevas tecnologías de pesca y acuicultura;</w:t>
      </w:r>
      <w:r w:rsidR="009A3F97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</w:t>
      </w:r>
      <w:r w:rsidR="00941B0B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6.</w:t>
      </w:r>
      <w:r w:rsidR="001D18AE"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="001D18AE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Rehabilitación y mantenimiento de la infraestructura pesquera y acuícola; 7.</w:t>
      </w:r>
      <w:r w:rsidR="001D18AE"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="001D18AE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Transferencia y divulgación de las investigaciones de pesca y acuicultura por medio del Nuevo Consejo Nacional en Ciencia y Tecnología (NCONACYT); 8. Fortalecimiento del programa de Erradicación del Trabajo Infantil en la pesca y la acuicultura.</w:t>
      </w:r>
    </w:p>
    <w:p w:rsidR="00B63E0B" w:rsidRPr="00321DF2" w:rsidRDefault="00B63E0B" w:rsidP="009A3F97">
      <w:pPr>
        <w:spacing w:after="0" w:line="228" w:lineRule="auto"/>
        <w:jc w:val="both"/>
        <w:rPr>
          <w:rFonts w:ascii="Arial" w:eastAsia="Times New Roman" w:hAnsi="Arial" w:cs="Arial"/>
          <w:sz w:val="16"/>
          <w:szCs w:val="16"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sz w:val="16"/>
          <w:szCs w:val="16"/>
          <w:lang w:val="es-ES" w:eastAsia="es-ES"/>
        </w:rPr>
        <w:t xml:space="preserve">FUENTE: </w:t>
      </w:r>
      <w:r w:rsidRPr="00321D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CENDEPESCA Informe de avance físico </w:t>
      </w:r>
      <w:r w:rsidR="009145E8" w:rsidRPr="00321DF2">
        <w:rPr>
          <w:rFonts w:ascii="Arial" w:eastAsia="Times New Roman" w:hAnsi="Arial" w:cs="Arial"/>
          <w:sz w:val="16"/>
          <w:szCs w:val="16"/>
          <w:lang w:val="es-ES" w:eastAsia="es-ES"/>
        </w:rPr>
        <w:t>abril-junio</w:t>
      </w:r>
      <w:r w:rsidRPr="00321DF2">
        <w:rPr>
          <w:rFonts w:ascii="Arial" w:eastAsia="Times New Roman" w:hAnsi="Arial" w:cs="Arial"/>
          <w:sz w:val="16"/>
          <w:szCs w:val="16"/>
          <w:lang w:val="es-ES" w:eastAsia="es-ES"/>
        </w:rPr>
        <w:t xml:space="preserve"> de 201</w:t>
      </w:r>
      <w:r w:rsidR="00A72105" w:rsidRPr="00321DF2">
        <w:rPr>
          <w:rFonts w:ascii="Arial" w:eastAsia="Times New Roman" w:hAnsi="Arial" w:cs="Arial"/>
          <w:sz w:val="16"/>
          <w:szCs w:val="16"/>
          <w:lang w:val="es-ES" w:eastAsia="es-ES"/>
        </w:rPr>
        <w:t>9</w:t>
      </w:r>
      <w:r w:rsidRPr="00321DF2">
        <w:rPr>
          <w:rFonts w:ascii="Arial" w:eastAsia="Times New Roman" w:hAnsi="Arial" w:cs="Arial"/>
          <w:sz w:val="16"/>
          <w:szCs w:val="16"/>
          <w:lang w:val="es-ES" w:eastAsia="es-ES"/>
        </w:rPr>
        <w:t>.</w:t>
      </w:r>
    </w:p>
    <w:p w:rsidR="009A3F97" w:rsidRPr="00321DF2" w:rsidRDefault="009A3F97" w:rsidP="009A3F97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  <w:r w:rsidRPr="00321DF2">
        <w:rPr>
          <w:rFonts w:ascii="Arial" w:eastAsia="Times New Roman" w:hAnsi="Arial" w:cs="Arial"/>
          <w:szCs w:val="24"/>
          <w:lang w:val="es-ES" w:eastAsia="es-ES"/>
        </w:rPr>
        <w:t>Los resultados #s 3 y 4, presentan valores muy bajos.</w:t>
      </w:r>
    </w:p>
    <w:p w:rsidR="009A3F97" w:rsidRPr="00321DF2" w:rsidRDefault="009A3F97" w:rsidP="009A3F97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9A3F97" w:rsidRPr="00321DF2" w:rsidRDefault="009A3F97" w:rsidP="009A3F97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9A3F97" w:rsidRPr="00321DF2" w:rsidRDefault="009A3F97" w:rsidP="00B63E0B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9A3F97" w:rsidRPr="00321DF2" w:rsidRDefault="009A3F97" w:rsidP="00B63E0B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9A3F97" w:rsidRPr="00321DF2" w:rsidRDefault="009A3F97" w:rsidP="00B63E0B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B63E0B" w:rsidRPr="00321DF2" w:rsidRDefault="00B63E0B" w:rsidP="00B63E0B">
      <w:pPr>
        <w:spacing w:after="0" w:line="276" w:lineRule="auto"/>
        <w:jc w:val="both"/>
        <w:rPr>
          <w:rFonts w:ascii="Arial" w:eastAsia="Times New Roman" w:hAnsi="Arial" w:cs="Arial"/>
          <w:color w:val="000000"/>
          <w:szCs w:val="24"/>
          <w:lang w:val="es-ES" w:eastAsia="es-ES"/>
        </w:rPr>
      </w:pPr>
      <w:r w:rsidRPr="00321DF2">
        <w:rPr>
          <w:rFonts w:ascii="Arial" w:eastAsia="Times New Roman" w:hAnsi="Arial" w:cs="Arial"/>
          <w:szCs w:val="24"/>
          <w:lang w:val="es-ES" w:eastAsia="es-ES"/>
        </w:rPr>
        <w:t xml:space="preserve">Entre las principales actividades y productos generados por CENDEPESCA en el trimestre que se informa, se </w:t>
      </w:r>
      <w:r w:rsidRPr="00321DF2">
        <w:rPr>
          <w:rFonts w:ascii="Arial" w:eastAsia="Times New Roman" w:hAnsi="Arial" w:cs="Arial"/>
          <w:color w:val="000000"/>
          <w:szCs w:val="24"/>
          <w:lang w:val="es-ES" w:eastAsia="es-ES"/>
        </w:rPr>
        <w:t>destacan:</w:t>
      </w:r>
    </w:p>
    <w:p w:rsidR="00941B0B" w:rsidRPr="00321DF2" w:rsidRDefault="00941B0B" w:rsidP="00B63E0B">
      <w:pPr>
        <w:spacing w:after="0" w:line="276" w:lineRule="auto"/>
        <w:jc w:val="both"/>
        <w:rPr>
          <w:rFonts w:ascii="Arial" w:eastAsia="Times New Roman" w:hAnsi="Arial" w:cs="Arial"/>
          <w:color w:val="000000"/>
          <w:szCs w:val="24"/>
          <w:lang w:val="es-ES" w:eastAsia="es-ES"/>
        </w:rPr>
      </w:pPr>
    </w:p>
    <w:p w:rsidR="00941B0B" w:rsidRPr="00321DF2" w:rsidRDefault="00941B0B" w:rsidP="00941B0B">
      <w:pPr>
        <w:pStyle w:val="Textoindependiente3"/>
        <w:numPr>
          <w:ilvl w:val="0"/>
          <w:numId w:val="3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Emisión y registro de </w:t>
      </w:r>
      <w:r w:rsidRPr="00321DF2">
        <w:rPr>
          <w:b/>
          <w:color w:val="000000" w:themeColor="text1"/>
          <w:szCs w:val="24"/>
        </w:rPr>
        <w:t>8</w:t>
      </w:r>
      <w:r w:rsidR="009145E8" w:rsidRPr="00321DF2">
        <w:rPr>
          <w:b/>
          <w:color w:val="000000" w:themeColor="text1"/>
          <w:szCs w:val="24"/>
        </w:rPr>
        <w:t>84</w:t>
      </w:r>
      <w:r w:rsidRPr="00321DF2">
        <w:rPr>
          <w:color w:val="000000" w:themeColor="text1"/>
          <w:szCs w:val="24"/>
        </w:rPr>
        <w:t xml:space="preserve"> resoluciones de pesca y acuicultura; </w:t>
      </w:r>
    </w:p>
    <w:p w:rsidR="00941B0B" w:rsidRPr="00321DF2" w:rsidRDefault="00941B0B" w:rsidP="00941B0B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Emisión y registro de </w:t>
      </w:r>
      <w:r w:rsidRPr="00321DF2">
        <w:rPr>
          <w:b/>
          <w:color w:val="000000" w:themeColor="text1"/>
          <w:szCs w:val="24"/>
        </w:rPr>
        <w:t>1</w:t>
      </w:r>
      <w:r w:rsidR="009145E8" w:rsidRPr="00321DF2">
        <w:rPr>
          <w:b/>
          <w:color w:val="000000" w:themeColor="text1"/>
          <w:szCs w:val="24"/>
        </w:rPr>
        <w:t>39</w:t>
      </w:r>
      <w:r w:rsidRPr="00321DF2">
        <w:rPr>
          <w:color w:val="000000" w:themeColor="text1"/>
          <w:szCs w:val="24"/>
        </w:rPr>
        <w:t xml:space="preserve"> licencias de embarcación; </w:t>
      </w:r>
    </w:p>
    <w:p w:rsidR="00941B0B" w:rsidRPr="00321DF2" w:rsidRDefault="00941B0B" w:rsidP="00941B0B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Elaboración de </w:t>
      </w:r>
      <w:r w:rsidRPr="00321DF2">
        <w:rPr>
          <w:b/>
          <w:color w:val="000000" w:themeColor="text1"/>
          <w:szCs w:val="24"/>
        </w:rPr>
        <w:t>tres</w:t>
      </w:r>
      <w:r w:rsidRPr="00321DF2">
        <w:rPr>
          <w:color w:val="000000" w:themeColor="text1"/>
          <w:szCs w:val="24"/>
        </w:rPr>
        <w:t xml:space="preserve"> informes de estadísticas pesqueras; </w:t>
      </w:r>
    </w:p>
    <w:p w:rsidR="00941B0B" w:rsidRPr="00321DF2" w:rsidRDefault="00941B0B" w:rsidP="00941B0B">
      <w:pPr>
        <w:pStyle w:val="Textoindependiente3"/>
        <w:numPr>
          <w:ilvl w:val="0"/>
          <w:numId w:val="2"/>
        </w:numPr>
        <w:spacing w:line="276" w:lineRule="auto"/>
        <w:rPr>
          <w:b/>
          <w:color w:val="000000" w:themeColor="text1"/>
        </w:rPr>
      </w:pPr>
      <w:r w:rsidRPr="00321DF2">
        <w:rPr>
          <w:color w:val="000000" w:themeColor="text1"/>
        </w:rPr>
        <w:t xml:space="preserve">Producción de </w:t>
      </w:r>
      <w:r w:rsidRPr="00321DF2">
        <w:rPr>
          <w:b/>
          <w:color w:val="000000" w:themeColor="text1"/>
        </w:rPr>
        <w:t>0.</w:t>
      </w:r>
      <w:r w:rsidR="00733374" w:rsidRPr="00321DF2">
        <w:rPr>
          <w:b/>
          <w:color w:val="000000" w:themeColor="text1"/>
        </w:rPr>
        <w:t>75</w:t>
      </w:r>
      <w:r w:rsidRPr="00321DF2">
        <w:rPr>
          <w:b/>
          <w:color w:val="000000" w:themeColor="text1"/>
        </w:rPr>
        <w:t xml:space="preserve"> </w:t>
      </w:r>
      <w:r w:rsidRPr="00321DF2">
        <w:rPr>
          <w:color w:val="000000" w:themeColor="text1"/>
        </w:rPr>
        <w:t xml:space="preserve">millones de semilla para el desarrollo de la Acuicultura: </w:t>
      </w:r>
      <w:r w:rsidRPr="00321DF2">
        <w:rPr>
          <w:b/>
          <w:color w:val="000000" w:themeColor="text1"/>
        </w:rPr>
        <w:t>0.3</w:t>
      </w:r>
      <w:r w:rsidR="00733374" w:rsidRPr="00321DF2">
        <w:rPr>
          <w:b/>
          <w:color w:val="000000" w:themeColor="text1"/>
        </w:rPr>
        <w:t>6</w:t>
      </w:r>
      <w:r w:rsidRPr="00321DF2">
        <w:rPr>
          <w:color w:val="000000" w:themeColor="text1"/>
        </w:rPr>
        <w:t xml:space="preserve"> millones de (alevines</w:t>
      </w:r>
      <w:r w:rsidRPr="00321DF2">
        <w:rPr>
          <w:b/>
          <w:color w:val="000000" w:themeColor="text1"/>
        </w:rPr>
        <w:t>), 0.</w:t>
      </w:r>
      <w:r w:rsidR="00733374" w:rsidRPr="00321DF2">
        <w:rPr>
          <w:b/>
          <w:color w:val="000000" w:themeColor="text1"/>
        </w:rPr>
        <w:t>01</w:t>
      </w:r>
      <w:r w:rsidRPr="00321DF2">
        <w:rPr>
          <w:b/>
          <w:color w:val="000000" w:themeColor="text1"/>
        </w:rPr>
        <w:t xml:space="preserve"> millones de ostras, y 0.</w:t>
      </w:r>
      <w:r w:rsidR="00733374" w:rsidRPr="00321DF2">
        <w:rPr>
          <w:b/>
          <w:color w:val="000000" w:themeColor="text1"/>
        </w:rPr>
        <w:t>38</w:t>
      </w:r>
      <w:r w:rsidRPr="00321DF2">
        <w:rPr>
          <w:b/>
          <w:color w:val="000000" w:themeColor="text1"/>
        </w:rPr>
        <w:t xml:space="preserve"> de conchas; </w:t>
      </w:r>
    </w:p>
    <w:p w:rsidR="00941B0B" w:rsidRPr="00321DF2" w:rsidRDefault="00941B0B" w:rsidP="00941B0B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Elaboración de </w:t>
      </w:r>
      <w:r w:rsidRPr="00321DF2">
        <w:rPr>
          <w:b/>
          <w:color w:val="000000" w:themeColor="text1"/>
          <w:szCs w:val="24"/>
        </w:rPr>
        <w:t>tres</w:t>
      </w:r>
      <w:r w:rsidRPr="00321DF2">
        <w:rPr>
          <w:color w:val="000000" w:themeColor="text1"/>
          <w:szCs w:val="24"/>
        </w:rPr>
        <w:t xml:space="preserve"> informes de estadísticas acuícolas; </w:t>
      </w:r>
    </w:p>
    <w:p w:rsidR="00941B0B" w:rsidRPr="00321DF2" w:rsidRDefault="00941B0B" w:rsidP="00941B0B">
      <w:pPr>
        <w:pStyle w:val="Textoindependiente3"/>
        <w:numPr>
          <w:ilvl w:val="0"/>
          <w:numId w:val="2"/>
        </w:numPr>
        <w:spacing w:line="276" w:lineRule="auto"/>
        <w:rPr>
          <w:b/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Realización de </w:t>
      </w:r>
      <w:r w:rsidR="00733374" w:rsidRPr="00321DF2">
        <w:rPr>
          <w:b/>
          <w:color w:val="000000" w:themeColor="text1"/>
          <w:szCs w:val="24"/>
        </w:rPr>
        <w:t>tres</w:t>
      </w:r>
      <w:r w:rsidRPr="00321DF2">
        <w:rPr>
          <w:color w:val="000000" w:themeColor="text1"/>
          <w:szCs w:val="24"/>
        </w:rPr>
        <w:t xml:space="preserve"> jornada</w:t>
      </w:r>
      <w:r w:rsidR="00733374" w:rsidRPr="00321DF2">
        <w:rPr>
          <w:color w:val="000000" w:themeColor="text1"/>
          <w:szCs w:val="24"/>
        </w:rPr>
        <w:t>s</w:t>
      </w:r>
      <w:r w:rsidRPr="00321DF2">
        <w:rPr>
          <w:color w:val="000000" w:themeColor="text1"/>
          <w:szCs w:val="24"/>
        </w:rPr>
        <w:t xml:space="preserve"> de capacitación a productores pesqueros en sensibilización del trabajo infantil y enfoque de género, dirigida a </w:t>
      </w:r>
      <w:r w:rsidR="00733374" w:rsidRPr="00321DF2">
        <w:rPr>
          <w:b/>
          <w:color w:val="000000" w:themeColor="text1"/>
          <w:szCs w:val="24"/>
        </w:rPr>
        <w:t>41</w:t>
      </w:r>
      <w:r w:rsidRPr="00321DF2">
        <w:rPr>
          <w:color w:val="000000" w:themeColor="text1"/>
          <w:szCs w:val="24"/>
        </w:rPr>
        <w:t xml:space="preserve"> </w:t>
      </w:r>
      <w:r w:rsidRPr="00321DF2">
        <w:rPr>
          <w:b/>
          <w:color w:val="000000" w:themeColor="text1"/>
          <w:szCs w:val="24"/>
        </w:rPr>
        <w:t xml:space="preserve">hombres </w:t>
      </w:r>
      <w:r w:rsidRPr="00321DF2">
        <w:rPr>
          <w:color w:val="000000" w:themeColor="text1"/>
          <w:szCs w:val="24"/>
        </w:rPr>
        <w:t xml:space="preserve">y </w:t>
      </w:r>
      <w:r w:rsidR="00733374" w:rsidRPr="00321DF2">
        <w:rPr>
          <w:b/>
          <w:color w:val="000000" w:themeColor="text1"/>
          <w:szCs w:val="24"/>
        </w:rPr>
        <w:t>32</w:t>
      </w:r>
      <w:r w:rsidRPr="00321DF2">
        <w:rPr>
          <w:b/>
          <w:color w:val="000000" w:themeColor="text1"/>
          <w:szCs w:val="24"/>
        </w:rPr>
        <w:t xml:space="preserve"> mujeres</w:t>
      </w:r>
    </w:p>
    <w:p w:rsidR="00941B0B" w:rsidRPr="00321DF2" w:rsidRDefault="00941B0B" w:rsidP="00941B0B">
      <w:pPr>
        <w:pStyle w:val="Textoindependiente3"/>
        <w:spacing w:line="276" w:lineRule="auto"/>
        <w:rPr>
          <w:color w:val="000000" w:themeColor="text1"/>
        </w:rPr>
      </w:pPr>
      <w:r w:rsidRPr="00321DF2">
        <w:rPr>
          <w:color w:val="000000" w:themeColor="text1"/>
          <w:szCs w:val="24"/>
        </w:rPr>
        <w:t>.</w:t>
      </w:r>
      <w:r w:rsidRPr="00321DF2">
        <w:rPr>
          <w:color w:val="000000" w:themeColor="text1"/>
        </w:rPr>
        <w:t xml:space="preserve"> </w:t>
      </w:r>
    </w:p>
    <w:p w:rsidR="00ED386D" w:rsidRPr="00321DF2" w:rsidRDefault="00ED386D" w:rsidP="00ED386D">
      <w:pPr>
        <w:spacing w:after="0" w:line="240" w:lineRule="auto"/>
        <w:rPr>
          <w:rFonts w:ascii="Arial" w:eastAsia="Times New Roman" w:hAnsi="Arial" w:cs="Arial"/>
          <w:b/>
          <w:lang w:val="es-ES" w:eastAsia="es-ES"/>
        </w:rPr>
      </w:pPr>
    </w:p>
    <w:p w:rsidR="00ED386D" w:rsidRPr="00321DF2" w:rsidRDefault="00ED386D" w:rsidP="00ED386D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lang w:val="es-ES" w:eastAsia="es-ES"/>
        </w:rPr>
        <w:t xml:space="preserve">II. </w:t>
      </w:r>
      <w:r w:rsidRPr="00321DF2">
        <w:rPr>
          <w:rFonts w:ascii="Arial" w:eastAsia="Times New Roman" w:hAnsi="Arial" w:cs="Arial"/>
          <w:b/>
          <w:bCs/>
          <w:lang w:val="es-ES" w:eastAsia="es-ES"/>
        </w:rPr>
        <w:tab/>
        <w:t>AVANCE FISICO ALCANZADO EN EL PERIODO ENERO-JUNIO DE 2019.</w:t>
      </w:r>
    </w:p>
    <w:p w:rsidR="00ED386D" w:rsidRPr="00321DF2" w:rsidRDefault="00ED386D" w:rsidP="00ED386D">
      <w:pPr>
        <w:spacing w:after="0" w:line="240" w:lineRule="auto"/>
        <w:jc w:val="both"/>
        <w:rPr>
          <w:rFonts w:ascii="Arial" w:eastAsia="Times New Roman" w:hAnsi="Arial" w:cs="Arial"/>
          <w:bCs/>
          <w:color w:val="548DD4"/>
          <w:szCs w:val="24"/>
          <w:lang w:val="es-ES" w:eastAsia="es-ES"/>
        </w:rPr>
      </w:pPr>
    </w:p>
    <w:p w:rsidR="00ED386D" w:rsidRPr="00321DF2" w:rsidRDefault="00ED386D" w:rsidP="00ED386D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321DF2">
        <w:rPr>
          <w:rFonts w:ascii="Arial" w:eastAsia="Times New Roman" w:hAnsi="Arial" w:cs="Arial"/>
          <w:lang w:val="es-ES" w:eastAsia="es-ES"/>
        </w:rPr>
        <w:t>En el periodo comprendido de enero-junio de 2019, CENDEPESCA, logró un avance físico de 71.9</w:t>
      </w:r>
      <w:r w:rsidRPr="00321DF2">
        <w:rPr>
          <w:rFonts w:ascii="Arial" w:eastAsia="Times New Roman" w:hAnsi="Arial" w:cs="Arial"/>
          <w:b/>
          <w:lang w:val="es-ES" w:eastAsia="es-ES"/>
        </w:rPr>
        <w:t xml:space="preserve"> %</w:t>
      </w:r>
      <w:r w:rsidRPr="00321DF2">
        <w:rPr>
          <w:rFonts w:ascii="Arial" w:eastAsia="Times New Roman" w:hAnsi="Arial" w:cs="Arial"/>
          <w:lang w:val="es-ES" w:eastAsia="es-ES"/>
        </w:rPr>
        <w:t xml:space="preserve">, calificado como </w:t>
      </w:r>
      <w:r w:rsidR="00321DF2" w:rsidRPr="00321DF2">
        <w:rPr>
          <w:rFonts w:ascii="Arial" w:eastAsia="Times New Roman" w:hAnsi="Arial" w:cs="Arial"/>
          <w:b/>
          <w:lang w:val="es-ES" w:eastAsia="es-ES"/>
        </w:rPr>
        <w:t>Deficiente</w:t>
      </w:r>
      <w:r w:rsidRPr="00321DF2">
        <w:rPr>
          <w:rFonts w:ascii="Arial" w:eastAsia="Times New Roman" w:hAnsi="Arial" w:cs="Arial"/>
          <w:lang w:val="es-ES" w:eastAsia="es-ES"/>
        </w:rPr>
        <w:t xml:space="preserve"> (ver gráfico 1). </w:t>
      </w:r>
    </w:p>
    <w:p w:rsidR="00ED386D" w:rsidRPr="00321DF2" w:rsidRDefault="00ED386D" w:rsidP="00ED386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>.</w:t>
      </w:r>
    </w:p>
    <w:p w:rsidR="00ED386D" w:rsidRPr="00321DF2" w:rsidRDefault="00ED386D" w:rsidP="00ED386D">
      <w:pPr>
        <w:spacing w:after="0" w:line="228" w:lineRule="auto"/>
        <w:ind w:left="851" w:hanging="851"/>
        <w:jc w:val="both"/>
        <w:rPr>
          <w:rFonts w:ascii="Arial" w:eastAsia="Times New Roman" w:hAnsi="Arial" w:cs="Arial"/>
          <w:sz w:val="20"/>
          <w:szCs w:val="16"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sz w:val="20"/>
          <w:szCs w:val="16"/>
          <w:lang w:val="es-ES" w:eastAsia="es-ES"/>
        </w:rPr>
        <w:t xml:space="preserve">Gráfico </w:t>
      </w:r>
      <w:r w:rsidR="008710B3" w:rsidRPr="00321DF2">
        <w:rPr>
          <w:rFonts w:ascii="Arial" w:eastAsia="Times New Roman" w:hAnsi="Arial" w:cs="Arial"/>
          <w:b/>
          <w:bCs/>
          <w:sz w:val="20"/>
          <w:szCs w:val="16"/>
          <w:lang w:val="es-ES" w:eastAsia="es-ES"/>
        </w:rPr>
        <w:t>2</w:t>
      </w:r>
      <w:r w:rsidRPr="00321DF2">
        <w:rPr>
          <w:rFonts w:ascii="Arial" w:eastAsia="Times New Roman" w:hAnsi="Arial" w:cs="Arial"/>
          <w:b/>
          <w:bCs/>
          <w:sz w:val="20"/>
          <w:szCs w:val="16"/>
          <w:lang w:val="es-ES" w:eastAsia="es-ES"/>
        </w:rPr>
        <w:t>.</w:t>
      </w:r>
      <w:r w:rsidRPr="00321DF2">
        <w:rPr>
          <w:rFonts w:ascii="Arial" w:eastAsia="Times New Roman" w:hAnsi="Arial" w:cs="Arial"/>
          <w:sz w:val="20"/>
          <w:szCs w:val="16"/>
          <w:lang w:val="es-ES" w:eastAsia="es-ES"/>
        </w:rPr>
        <w:t xml:space="preserve"> Avance físico en porcentaje por Resultados y total Institución en el periodo enero-junio de 2019.</w:t>
      </w:r>
    </w:p>
    <w:p w:rsidR="00ED386D" w:rsidRPr="00321DF2" w:rsidRDefault="00ED386D" w:rsidP="00ED386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-142"/>
        </w:tabs>
        <w:spacing w:after="0" w:line="228" w:lineRule="auto"/>
        <w:ind w:left="426" w:hanging="426"/>
        <w:jc w:val="both"/>
        <w:rPr>
          <w:rFonts w:ascii="Arial" w:eastAsia="Times New Roman" w:hAnsi="Arial" w:cs="Arial"/>
          <w:sz w:val="24"/>
          <w:lang w:val="es-ES" w:eastAsia="es-ES"/>
        </w:rPr>
      </w:pPr>
      <w:r w:rsidRPr="00321DF2">
        <w:rPr>
          <w:rFonts w:ascii="Arial" w:hAnsi="Arial" w:cs="Arial"/>
          <w:noProof/>
          <w:lang w:eastAsia="es-SV"/>
        </w:rPr>
        <w:drawing>
          <wp:inline distT="0" distB="0" distL="0" distR="0">
            <wp:extent cx="5543550" cy="2362200"/>
            <wp:effectExtent l="19050" t="0" r="19050" b="0"/>
            <wp:docPr id="3" name="Objet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386D" w:rsidRPr="00321DF2" w:rsidRDefault="00ED386D" w:rsidP="00C30462">
      <w:pPr>
        <w:spacing w:after="0"/>
        <w:ind w:right="49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321DF2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Simbología: 1.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Administración y ordenamiento de la pesca y la acuicultura;</w:t>
      </w:r>
      <w:r w:rsidRPr="00321DF2">
        <w:rPr>
          <w:rFonts w:ascii="Arial" w:hAnsi="Arial" w:cs="Arial"/>
          <w:color w:val="000000"/>
          <w:sz w:val="20"/>
          <w:szCs w:val="20"/>
        </w:rPr>
        <w:t xml:space="preserve"> 2.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Desarrollo y fomento del sub-sector acuícola; 3. Desarrollo y fomento del sub-sector pesquero;</w:t>
      </w:r>
      <w:r w:rsidR="00143DF8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4.</w:t>
      </w:r>
      <w:r w:rsidRPr="00321DF2">
        <w:rPr>
          <w:rFonts w:ascii="Arial" w:hAnsi="Arial" w:cs="Arial"/>
          <w:sz w:val="20"/>
          <w:szCs w:val="20"/>
        </w:rPr>
        <w:t xml:space="preserve"> </w:t>
      </w:r>
      <w:r w:rsidRPr="00321DF2">
        <w:rPr>
          <w:rFonts w:ascii="Arial" w:eastAsia="Times New Roman" w:hAnsi="Arial" w:cs="Arial"/>
          <w:sz w:val="20"/>
          <w:szCs w:val="20"/>
          <w:lang w:eastAsia="es-SV"/>
        </w:rPr>
        <w:t>Desarrollo de la acuicultura familiar:</w:t>
      </w:r>
      <w:r w:rsidR="00143DF8" w:rsidRPr="00321DF2">
        <w:rPr>
          <w:rFonts w:ascii="Arial" w:eastAsia="Times New Roman" w:hAnsi="Arial" w:cs="Arial"/>
          <w:sz w:val="20"/>
          <w:szCs w:val="20"/>
          <w:lang w:eastAsia="es-SV"/>
        </w:rPr>
        <w:t xml:space="preserve"> </w:t>
      </w:r>
      <w:r w:rsidRPr="00321DF2">
        <w:rPr>
          <w:rFonts w:ascii="Arial" w:eastAsia="Times New Roman" w:hAnsi="Arial" w:cs="Arial"/>
          <w:sz w:val="20"/>
          <w:szCs w:val="20"/>
          <w:lang w:eastAsia="es-SV"/>
        </w:rPr>
        <w:t>5.</w:t>
      </w:r>
      <w:r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Desarrollo de la investigación y transferencia de nuevas tecnologías de pesca y acuicultura;</w:t>
      </w:r>
      <w:r w:rsidR="00143DF8"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 xml:space="preserve">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6.</w:t>
      </w:r>
      <w:r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Rehabilitación y mantenimiento de la infraestructura pesquera y acuícola; 7.</w:t>
      </w:r>
      <w:r w:rsidRPr="00321DF2">
        <w:rPr>
          <w:rFonts w:ascii="Arial" w:hAnsi="Arial" w:cs="Arial"/>
          <w:color w:val="000000"/>
          <w:sz w:val="20"/>
          <w:szCs w:val="20"/>
        </w:rPr>
        <w:t xml:space="preserve"> </w:t>
      </w:r>
      <w:r w:rsidRPr="00321DF2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Transferencia y divulgación de las investigaciones de pesca y acuicultura por medio del Nuevo Consejo Nacional en Ciencia y Tecnología (NCONACYT); 8. Fortalecimiento del programa de Erradicación del Trabajo Infantil en la pesca y la acuicultura.</w:t>
      </w:r>
    </w:p>
    <w:p w:rsidR="00ED386D" w:rsidRPr="00321DF2" w:rsidRDefault="00ED386D" w:rsidP="00C30462">
      <w:pPr>
        <w:spacing w:after="0" w:line="228" w:lineRule="auto"/>
        <w:jc w:val="both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 xml:space="preserve">FUENTE: </w:t>
      </w:r>
      <w:r w:rsidRPr="00321DF2">
        <w:rPr>
          <w:rFonts w:ascii="Arial" w:eastAsia="Times New Roman" w:hAnsi="Arial" w:cs="Arial"/>
          <w:sz w:val="18"/>
          <w:szCs w:val="18"/>
          <w:lang w:val="es-ES" w:eastAsia="es-ES"/>
        </w:rPr>
        <w:t>CENDEPESCA Informe de avance físico abril-junio de 2019.</w:t>
      </w:r>
    </w:p>
    <w:p w:rsidR="00C30462" w:rsidRPr="00321DF2" w:rsidRDefault="00C30462" w:rsidP="00C30462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  <w:r w:rsidRPr="00321DF2">
        <w:rPr>
          <w:rFonts w:ascii="Arial" w:eastAsia="Times New Roman" w:hAnsi="Arial" w:cs="Arial"/>
          <w:szCs w:val="24"/>
          <w:lang w:val="es-ES" w:eastAsia="es-ES"/>
        </w:rPr>
        <w:t>Los resultados #s 3, 4 y 6,</w:t>
      </w:r>
      <w:r w:rsidR="002C3ED1" w:rsidRPr="00321DF2">
        <w:rPr>
          <w:rFonts w:ascii="Arial" w:eastAsia="Times New Roman" w:hAnsi="Arial" w:cs="Arial"/>
          <w:szCs w:val="24"/>
          <w:lang w:val="es-ES" w:eastAsia="es-ES"/>
        </w:rPr>
        <w:t xml:space="preserve"> presentan valores muy bajos </w:t>
      </w:r>
    </w:p>
    <w:p w:rsidR="00C30462" w:rsidRPr="00321DF2" w:rsidRDefault="00C30462" w:rsidP="00C30462">
      <w:pPr>
        <w:spacing w:after="0" w:line="276" w:lineRule="auto"/>
        <w:jc w:val="both"/>
        <w:rPr>
          <w:rFonts w:ascii="Arial" w:eastAsia="Times New Roman" w:hAnsi="Arial" w:cs="Arial"/>
          <w:szCs w:val="24"/>
          <w:lang w:val="es-ES" w:eastAsia="es-ES"/>
        </w:rPr>
      </w:pPr>
    </w:p>
    <w:p w:rsidR="00ED386D" w:rsidRPr="00321DF2" w:rsidRDefault="00ED386D" w:rsidP="00C30462">
      <w:pPr>
        <w:spacing w:after="0" w:line="276" w:lineRule="auto"/>
        <w:jc w:val="both"/>
        <w:rPr>
          <w:rFonts w:ascii="Arial" w:eastAsia="Times New Roman" w:hAnsi="Arial" w:cs="Arial"/>
          <w:color w:val="000000"/>
          <w:szCs w:val="24"/>
          <w:lang w:val="es-ES" w:eastAsia="es-ES"/>
        </w:rPr>
      </w:pPr>
      <w:r w:rsidRPr="00321DF2">
        <w:rPr>
          <w:rFonts w:ascii="Arial" w:eastAsia="Times New Roman" w:hAnsi="Arial" w:cs="Arial"/>
          <w:szCs w:val="24"/>
          <w:lang w:val="es-ES" w:eastAsia="es-ES"/>
        </w:rPr>
        <w:lastRenderedPageBreak/>
        <w:t xml:space="preserve">Entre las principales actividades y productos generados por CENDEPESCA en el </w:t>
      </w:r>
      <w:r w:rsidR="008710B3" w:rsidRPr="00321DF2">
        <w:rPr>
          <w:rFonts w:ascii="Arial" w:eastAsia="Times New Roman" w:hAnsi="Arial" w:cs="Arial"/>
          <w:szCs w:val="24"/>
          <w:lang w:val="es-ES" w:eastAsia="es-ES"/>
        </w:rPr>
        <w:t>periodo</w:t>
      </w:r>
      <w:r w:rsidRPr="00321DF2">
        <w:rPr>
          <w:rFonts w:ascii="Arial" w:eastAsia="Times New Roman" w:hAnsi="Arial" w:cs="Arial"/>
          <w:szCs w:val="24"/>
          <w:lang w:val="es-ES" w:eastAsia="es-ES"/>
        </w:rPr>
        <w:t xml:space="preserve"> que se informa, se </w:t>
      </w:r>
      <w:r w:rsidRPr="00321DF2">
        <w:rPr>
          <w:rFonts w:ascii="Arial" w:eastAsia="Times New Roman" w:hAnsi="Arial" w:cs="Arial"/>
          <w:color w:val="000000"/>
          <w:szCs w:val="24"/>
          <w:lang w:val="es-ES" w:eastAsia="es-ES"/>
        </w:rPr>
        <w:t>destacan:</w:t>
      </w:r>
    </w:p>
    <w:p w:rsidR="00ED386D" w:rsidRPr="00321DF2" w:rsidRDefault="00ED386D" w:rsidP="00ED386D">
      <w:pPr>
        <w:spacing w:after="0" w:line="276" w:lineRule="auto"/>
        <w:jc w:val="both"/>
        <w:rPr>
          <w:rFonts w:ascii="Arial" w:eastAsia="Times New Roman" w:hAnsi="Arial" w:cs="Arial"/>
          <w:color w:val="000000"/>
          <w:szCs w:val="24"/>
          <w:lang w:val="es-ES" w:eastAsia="es-ES"/>
        </w:rPr>
      </w:pPr>
    </w:p>
    <w:p w:rsidR="00ED386D" w:rsidRPr="00321DF2" w:rsidRDefault="00ED386D" w:rsidP="00ED386D">
      <w:pPr>
        <w:pStyle w:val="Textoindependiente3"/>
        <w:numPr>
          <w:ilvl w:val="0"/>
          <w:numId w:val="3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Emisión y registro de </w:t>
      </w:r>
      <w:r w:rsidR="001A7855" w:rsidRPr="00321DF2">
        <w:rPr>
          <w:b/>
          <w:color w:val="000000" w:themeColor="text1"/>
          <w:szCs w:val="24"/>
        </w:rPr>
        <w:t>1744</w:t>
      </w:r>
      <w:r w:rsidRPr="00321DF2">
        <w:rPr>
          <w:color w:val="000000" w:themeColor="text1"/>
          <w:szCs w:val="24"/>
        </w:rPr>
        <w:t xml:space="preserve"> resoluciones de pesca y acuicultura; </w:t>
      </w:r>
    </w:p>
    <w:p w:rsidR="00ED386D" w:rsidRPr="00321DF2" w:rsidRDefault="00ED386D" w:rsidP="00ED386D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Emisión y registro de </w:t>
      </w:r>
      <w:r w:rsidR="001A7855" w:rsidRPr="00321DF2">
        <w:rPr>
          <w:b/>
          <w:color w:val="000000" w:themeColor="text1"/>
          <w:szCs w:val="24"/>
        </w:rPr>
        <w:t>29</w:t>
      </w:r>
      <w:r w:rsidRPr="00321DF2">
        <w:rPr>
          <w:b/>
          <w:color w:val="000000" w:themeColor="text1"/>
          <w:szCs w:val="24"/>
        </w:rPr>
        <w:t>3</w:t>
      </w:r>
      <w:r w:rsidRPr="00321DF2">
        <w:rPr>
          <w:color w:val="000000" w:themeColor="text1"/>
          <w:szCs w:val="24"/>
        </w:rPr>
        <w:t xml:space="preserve"> licencias de embarcación; </w:t>
      </w:r>
    </w:p>
    <w:p w:rsidR="00ED386D" w:rsidRPr="00321DF2" w:rsidRDefault="00ED386D" w:rsidP="00ED386D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Elaboración de </w:t>
      </w:r>
      <w:r w:rsidR="001C413A" w:rsidRPr="00321DF2">
        <w:rPr>
          <w:color w:val="000000" w:themeColor="text1"/>
          <w:szCs w:val="24"/>
        </w:rPr>
        <w:t>seis</w:t>
      </w:r>
      <w:r w:rsidRPr="00321DF2">
        <w:rPr>
          <w:color w:val="000000" w:themeColor="text1"/>
          <w:szCs w:val="24"/>
        </w:rPr>
        <w:t xml:space="preserve"> informes de estadísticas pesqueras; </w:t>
      </w:r>
    </w:p>
    <w:p w:rsidR="00ED386D" w:rsidRPr="00321DF2" w:rsidRDefault="00ED386D" w:rsidP="00ED386D">
      <w:pPr>
        <w:pStyle w:val="Textoindependiente3"/>
        <w:numPr>
          <w:ilvl w:val="0"/>
          <w:numId w:val="2"/>
        </w:numPr>
        <w:spacing w:line="276" w:lineRule="auto"/>
        <w:rPr>
          <w:b/>
          <w:color w:val="000000" w:themeColor="text1"/>
        </w:rPr>
      </w:pPr>
      <w:r w:rsidRPr="00321DF2">
        <w:rPr>
          <w:color w:val="000000" w:themeColor="text1"/>
        </w:rPr>
        <w:t xml:space="preserve">Producción de </w:t>
      </w:r>
      <w:r w:rsidR="00B859EA" w:rsidRPr="00321DF2">
        <w:rPr>
          <w:b/>
          <w:color w:val="000000" w:themeColor="text1"/>
        </w:rPr>
        <w:t>1</w:t>
      </w:r>
      <w:r w:rsidRPr="00321DF2">
        <w:rPr>
          <w:b/>
          <w:color w:val="000000" w:themeColor="text1"/>
        </w:rPr>
        <w:t>.</w:t>
      </w:r>
      <w:r w:rsidR="00B859EA" w:rsidRPr="00321DF2">
        <w:rPr>
          <w:b/>
          <w:color w:val="000000" w:themeColor="text1"/>
        </w:rPr>
        <w:t>42</w:t>
      </w:r>
      <w:r w:rsidRPr="00321DF2">
        <w:rPr>
          <w:b/>
          <w:color w:val="000000" w:themeColor="text1"/>
        </w:rPr>
        <w:t xml:space="preserve"> </w:t>
      </w:r>
      <w:r w:rsidRPr="00321DF2">
        <w:rPr>
          <w:color w:val="000000" w:themeColor="text1"/>
        </w:rPr>
        <w:t xml:space="preserve">millones de semilla para el desarrollo de la Acuicultura: </w:t>
      </w:r>
      <w:r w:rsidRPr="00321DF2">
        <w:rPr>
          <w:b/>
          <w:color w:val="000000" w:themeColor="text1"/>
        </w:rPr>
        <w:t>0.</w:t>
      </w:r>
      <w:r w:rsidR="001A7855" w:rsidRPr="00321DF2">
        <w:rPr>
          <w:b/>
          <w:color w:val="000000" w:themeColor="text1"/>
        </w:rPr>
        <w:t>68</w:t>
      </w:r>
      <w:r w:rsidRPr="00321DF2">
        <w:rPr>
          <w:color w:val="000000" w:themeColor="text1"/>
        </w:rPr>
        <w:t xml:space="preserve"> millones de (alevines</w:t>
      </w:r>
      <w:r w:rsidRPr="00321DF2">
        <w:rPr>
          <w:b/>
          <w:color w:val="000000" w:themeColor="text1"/>
        </w:rPr>
        <w:t>), 0.</w:t>
      </w:r>
      <w:r w:rsidR="001A7855" w:rsidRPr="00321DF2">
        <w:rPr>
          <w:b/>
          <w:color w:val="000000" w:themeColor="text1"/>
        </w:rPr>
        <w:t>16</w:t>
      </w:r>
      <w:r w:rsidRPr="00321DF2">
        <w:rPr>
          <w:b/>
          <w:color w:val="000000" w:themeColor="text1"/>
        </w:rPr>
        <w:t xml:space="preserve"> millones de ostras, y 0.</w:t>
      </w:r>
      <w:r w:rsidR="001A7855" w:rsidRPr="00321DF2">
        <w:rPr>
          <w:b/>
          <w:color w:val="000000" w:themeColor="text1"/>
        </w:rPr>
        <w:t>5</w:t>
      </w:r>
      <w:r w:rsidRPr="00321DF2">
        <w:rPr>
          <w:b/>
          <w:color w:val="000000" w:themeColor="text1"/>
        </w:rPr>
        <w:t xml:space="preserve">8 de conchas; </w:t>
      </w:r>
    </w:p>
    <w:p w:rsidR="00ED386D" w:rsidRPr="00321DF2" w:rsidRDefault="00ED386D" w:rsidP="00ED386D">
      <w:pPr>
        <w:pStyle w:val="Textoindependiente3"/>
        <w:numPr>
          <w:ilvl w:val="0"/>
          <w:numId w:val="2"/>
        </w:numPr>
        <w:spacing w:line="276" w:lineRule="auto"/>
        <w:rPr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Elaboración de </w:t>
      </w:r>
      <w:r w:rsidR="001C413A" w:rsidRPr="00321DF2">
        <w:rPr>
          <w:b/>
          <w:color w:val="000000" w:themeColor="text1"/>
          <w:szCs w:val="24"/>
        </w:rPr>
        <w:t>seis</w:t>
      </w:r>
      <w:r w:rsidRPr="00321DF2">
        <w:rPr>
          <w:color w:val="000000" w:themeColor="text1"/>
          <w:szCs w:val="24"/>
        </w:rPr>
        <w:t xml:space="preserve"> informes de estadísticas acuícolas; </w:t>
      </w:r>
    </w:p>
    <w:p w:rsidR="00ED386D" w:rsidRPr="00321DF2" w:rsidRDefault="00ED386D" w:rsidP="00ED386D">
      <w:pPr>
        <w:pStyle w:val="Textoindependiente3"/>
        <w:numPr>
          <w:ilvl w:val="0"/>
          <w:numId w:val="2"/>
        </w:numPr>
        <w:spacing w:line="276" w:lineRule="auto"/>
        <w:rPr>
          <w:b/>
          <w:color w:val="000000" w:themeColor="text1"/>
          <w:szCs w:val="24"/>
        </w:rPr>
      </w:pPr>
      <w:r w:rsidRPr="00321DF2">
        <w:rPr>
          <w:color w:val="000000" w:themeColor="text1"/>
          <w:szCs w:val="24"/>
        </w:rPr>
        <w:t xml:space="preserve">Realización de </w:t>
      </w:r>
      <w:r w:rsidR="00661E91" w:rsidRPr="00321DF2">
        <w:rPr>
          <w:b/>
          <w:color w:val="000000" w:themeColor="text1"/>
          <w:szCs w:val="24"/>
        </w:rPr>
        <w:t>cuatro</w:t>
      </w:r>
      <w:r w:rsidR="00661E91" w:rsidRPr="00321DF2">
        <w:rPr>
          <w:color w:val="000000" w:themeColor="text1"/>
          <w:szCs w:val="24"/>
        </w:rPr>
        <w:t xml:space="preserve"> </w:t>
      </w:r>
      <w:r w:rsidRPr="00321DF2">
        <w:rPr>
          <w:color w:val="000000" w:themeColor="text1"/>
          <w:szCs w:val="24"/>
        </w:rPr>
        <w:t xml:space="preserve">jornadas de capacitación a productores pesqueros en sensibilización del trabajo infantil y enfoque de género, dirigida a </w:t>
      </w:r>
      <w:r w:rsidRPr="00321DF2">
        <w:rPr>
          <w:b/>
          <w:color w:val="000000" w:themeColor="text1"/>
          <w:szCs w:val="24"/>
        </w:rPr>
        <w:t>4</w:t>
      </w:r>
      <w:r w:rsidR="00661E91" w:rsidRPr="00321DF2">
        <w:rPr>
          <w:b/>
          <w:color w:val="000000" w:themeColor="text1"/>
          <w:szCs w:val="24"/>
        </w:rPr>
        <w:t>9</w:t>
      </w:r>
      <w:r w:rsidRPr="00321DF2">
        <w:rPr>
          <w:color w:val="000000" w:themeColor="text1"/>
          <w:szCs w:val="24"/>
        </w:rPr>
        <w:t xml:space="preserve"> </w:t>
      </w:r>
      <w:r w:rsidRPr="00321DF2">
        <w:rPr>
          <w:b/>
          <w:color w:val="000000" w:themeColor="text1"/>
          <w:szCs w:val="24"/>
        </w:rPr>
        <w:t xml:space="preserve">hombres </w:t>
      </w:r>
      <w:r w:rsidRPr="00321DF2">
        <w:rPr>
          <w:color w:val="000000" w:themeColor="text1"/>
          <w:szCs w:val="24"/>
        </w:rPr>
        <w:t xml:space="preserve">y </w:t>
      </w:r>
      <w:r w:rsidR="00661E91" w:rsidRPr="00321DF2">
        <w:rPr>
          <w:b/>
          <w:color w:val="000000" w:themeColor="text1"/>
          <w:szCs w:val="24"/>
        </w:rPr>
        <w:t>21</w:t>
      </w:r>
      <w:r w:rsidRPr="00321DF2">
        <w:rPr>
          <w:b/>
          <w:color w:val="000000" w:themeColor="text1"/>
          <w:szCs w:val="24"/>
        </w:rPr>
        <w:t xml:space="preserve"> mujeres</w:t>
      </w:r>
    </w:p>
    <w:p w:rsidR="00A45D8C" w:rsidRPr="00321DF2" w:rsidRDefault="00A45D8C" w:rsidP="00941B0B">
      <w:pPr>
        <w:pStyle w:val="Textoindependiente3"/>
        <w:spacing w:line="276" w:lineRule="auto"/>
        <w:rPr>
          <w:color w:val="000000" w:themeColor="text1"/>
        </w:rPr>
      </w:pPr>
    </w:p>
    <w:p w:rsidR="00A45D8C" w:rsidRPr="00321DF2" w:rsidRDefault="00A45D8C" w:rsidP="00941B0B">
      <w:pPr>
        <w:pStyle w:val="Textoindependiente3"/>
        <w:spacing w:line="276" w:lineRule="auto"/>
        <w:rPr>
          <w:color w:val="000000" w:themeColor="text1"/>
          <w:szCs w:val="24"/>
        </w:rPr>
      </w:pPr>
    </w:p>
    <w:p w:rsidR="00B63E0B" w:rsidRPr="00321DF2" w:rsidRDefault="00B63E0B" w:rsidP="00B63E0B">
      <w:pPr>
        <w:spacing w:after="0" w:line="228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321DF2">
        <w:rPr>
          <w:rFonts w:ascii="Arial" w:eastAsia="Times New Roman" w:hAnsi="Arial" w:cs="Arial"/>
          <w:b/>
          <w:bCs/>
          <w:color w:val="000000" w:themeColor="text1"/>
          <w:lang w:val="es-ES" w:eastAsia="es-ES"/>
        </w:rPr>
        <w:t xml:space="preserve">III. </w:t>
      </w:r>
      <w:r w:rsidRPr="00321DF2">
        <w:rPr>
          <w:rFonts w:ascii="Arial" w:eastAsia="Times New Roman" w:hAnsi="Arial" w:cs="Arial"/>
          <w:b/>
          <w:bCs/>
          <w:color w:val="000000" w:themeColor="text1"/>
          <w:lang w:val="es-ES" w:eastAsia="es-ES"/>
        </w:rPr>
        <w:tab/>
        <w:t>CONCLUSIONES Y RECOMENDACIONES</w:t>
      </w:r>
    </w:p>
    <w:p w:rsidR="0002288D" w:rsidRPr="00321DF2" w:rsidRDefault="0002288D" w:rsidP="0002288D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</w:p>
    <w:p w:rsidR="003F466F" w:rsidRDefault="0002288D" w:rsidP="009E3B2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Los desempeños más bajos el de </w:t>
      </w:r>
      <w:r w:rsidR="005E1D23" w:rsidRPr="00321DF2">
        <w:rPr>
          <w:rFonts w:ascii="Arial" w:eastAsia="Times New Roman" w:hAnsi="Arial" w:cs="Arial"/>
          <w:color w:val="000000" w:themeColor="text1"/>
          <w:lang w:val="es-ES" w:eastAsia="es-ES"/>
        </w:rPr>
        <w:t>(</w:t>
      </w:r>
      <w:r w:rsidR="00143DF8" w:rsidRPr="00321DF2">
        <w:rPr>
          <w:rFonts w:ascii="Arial" w:eastAsia="Times New Roman" w:hAnsi="Arial" w:cs="Arial"/>
          <w:color w:val="000000" w:themeColor="text1"/>
          <w:lang w:val="es-ES" w:eastAsia="es-ES"/>
        </w:rPr>
        <w:t>55.4</w:t>
      </w:r>
      <w:r w:rsidR="005E1D23" w:rsidRPr="00321DF2">
        <w:rPr>
          <w:rFonts w:ascii="Arial" w:eastAsia="Times New Roman" w:hAnsi="Arial" w:cs="Arial"/>
          <w:color w:val="000000" w:themeColor="text1"/>
          <w:lang w:val="es-ES" w:eastAsia="es-ES"/>
        </w:rPr>
        <w:t>%)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del Resultado # </w:t>
      </w:r>
      <w:r w:rsidR="00143DF8"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3; 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(</w:t>
      </w:r>
      <w:r w:rsidR="00143DF8" w:rsidRPr="00321DF2">
        <w:rPr>
          <w:rFonts w:ascii="Arial" w:eastAsia="Times New Roman" w:hAnsi="Arial" w:cs="Arial"/>
          <w:color w:val="000000" w:themeColor="text1"/>
          <w:lang w:val="es-ES" w:eastAsia="es-ES"/>
        </w:rPr>
        <w:t>24.3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%) del # </w:t>
      </w:r>
      <w:r w:rsidR="00143DF8" w:rsidRPr="00321DF2">
        <w:rPr>
          <w:rFonts w:ascii="Arial" w:eastAsia="Times New Roman" w:hAnsi="Arial" w:cs="Arial"/>
          <w:color w:val="000000" w:themeColor="text1"/>
          <w:lang w:val="es-ES" w:eastAsia="es-ES"/>
        </w:rPr>
        <w:t>5; l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o cual tuvo como principales causas: El incumplimiento de la meta, </w:t>
      </w:r>
      <w:r w:rsidR="000D097C"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es por no haber asistido el total de productores convocados, 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debido a </w:t>
      </w:r>
      <w:r w:rsidR="000D097C" w:rsidRPr="00321DF2">
        <w:rPr>
          <w:rFonts w:ascii="Arial" w:eastAsia="Times New Roman" w:hAnsi="Arial" w:cs="Arial"/>
          <w:color w:val="000000" w:themeColor="text1"/>
          <w:lang w:val="es-ES" w:eastAsia="es-ES"/>
        </w:rPr>
        <w:t>que aun no se han transferido los fondos por parte</w:t>
      </w:r>
      <w:r w:rsidR="00DC0534"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del MH. al MAG</w:t>
      </w:r>
      <w:r w:rsidR="00A04F05" w:rsidRPr="00321DF2">
        <w:rPr>
          <w:rFonts w:ascii="Arial" w:eastAsia="Times New Roman" w:hAnsi="Arial" w:cs="Arial"/>
          <w:color w:val="000000" w:themeColor="text1"/>
          <w:lang w:val="es-ES" w:eastAsia="es-ES"/>
        </w:rPr>
        <w:t>, para el Fideicomiso pescar;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la otra meta </w:t>
      </w:r>
      <w:r w:rsidR="00A04F05" w:rsidRPr="00321DF2">
        <w:rPr>
          <w:rFonts w:ascii="Arial" w:eastAsia="Times New Roman" w:hAnsi="Arial" w:cs="Arial"/>
          <w:color w:val="000000" w:themeColor="text1"/>
          <w:lang w:val="es-ES" w:eastAsia="es-ES"/>
        </w:rPr>
        <w:t>más</w:t>
      </w: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baja no se cumplió, debido a que se </w:t>
      </w:r>
      <w:r w:rsidR="00A04F05" w:rsidRPr="00321DF2">
        <w:rPr>
          <w:rFonts w:ascii="Arial" w:eastAsia="Times New Roman" w:hAnsi="Arial" w:cs="Arial"/>
          <w:color w:val="000000" w:themeColor="text1"/>
          <w:lang w:val="es-ES" w:eastAsia="es-ES"/>
        </w:rPr>
        <w:t>encuentra en proceso de</w:t>
      </w:r>
      <w:r w:rsidR="005E1D23"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elaboración el documento final.</w:t>
      </w:r>
    </w:p>
    <w:p w:rsidR="003C679F" w:rsidRPr="003C679F" w:rsidRDefault="003C679F" w:rsidP="009E3B2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</w:p>
    <w:p w:rsidR="003C679F" w:rsidRPr="003C679F" w:rsidRDefault="003C679F" w:rsidP="009E3B2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  <w:r w:rsidRPr="003C679F">
        <w:rPr>
          <w:rFonts w:ascii="Arial" w:eastAsia="Times New Roman" w:hAnsi="Arial" w:cs="Arial"/>
          <w:b/>
          <w:color w:val="FF0000"/>
          <w:lang w:val="es-ES" w:eastAsia="es-ES"/>
        </w:rPr>
        <w:t>Según resultados alcanzados es necesario que la Dirección lance una estrategia para revertir las ponderaciones deficientes y se mejore la eficiencia  operativa</w:t>
      </w:r>
    </w:p>
    <w:p w:rsidR="003C679F" w:rsidRPr="003C679F" w:rsidRDefault="003C679F" w:rsidP="009E3B2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</w:p>
    <w:p w:rsidR="003C679F" w:rsidRPr="003C679F" w:rsidRDefault="003C679F" w:rsidP="009E3B2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  <w:r w:rsidRPr="003C679F">
        <w:rPr>
          <w:rFonts w:ascii="Arial" w:eastAsia="Times New Roman" w:hAnsi="Arial" w:cs="Arial"/>
          <w:b/>
          <w:color w:val="FF0000"/>
          <w:lang w:val="es-ES" w:eastAsia="es-ES"/>
        </w:rPr>
        <w:t>Como parte de la nueva metodología que implementa la OPPS en el área de seguimiento y evaluación se retomara la realización de monitoreos institucionales de verificacion de evidencias y constataciones de indicadores en campo.</w:t>
      </w:r>
    </w:p>
    <w:p w:rsidR="003F466F" w:rsidRPr="003C679F" w:rsidRDefault="003F466F" w:rsidP="009E3B25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val="es-ES" w:eastAsia="es-ES"/>
        </w:rPr>
      </w:pPr>
    </w:p>
    <w:p w:rsidR="003F466F" w:rsidRPr="00321DF2" w:rsidRDefault="003F466F" w:rsidP="003F466F">
      <w:pPr>
        <w:pStyle w:val="Textoindependiente3"/>
        <w:spacing w:line="228" w:lineRule="auto"/>
        <w:rPr>
          <w:b/>
          <w:color w:val="0070C0"/>
          <w:sz w:val="20"/>
        </w:rPr>
      </w:pPr>
      <w:r w:rsidRPr="00321DF2">
        <w:rPr>
          <w:color w:val="000000" w:themeColor="text1"/>
        </w:rPr>
        <w:t xml:space="preserve">Se hace la invitación al personal técnico y gerencial del CENDEPESCA, para que superen la mística de trabajo y se mejoren los resultados en lo que resta del año 2019. </w:t>
      </w:r>
    </w:p>
    <w:p w:rsidR="003F466F" w:rsidRPr="00321DF2" w:rsidRDefault="003F466F" w:rsidP="009E3B25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val="es-ES" w:eastAsia="es-ES"/>
        </w:rPr>
      </w:pPr>
    </w:p>
    <w:p w:rsidR="00B63E0B" w:rsidRPr="00321DF2" w:rsidRDefault="00A04F05" w:rsidP="003F466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val="es-ES" w:eastAsia="es-ES"/>
        </w:rPr>
      </w:pPr>
      <w:r w:rsidRPr="00321DF2">
        <w:rPr>
          <w:rFonts w:ascii="Arial" w:eastAsia="Times New Roman" w:hAnsi="Arial" w:cs="Arial"/>
          <w:color w:val="000000" w:themeColor="text1"/>
          <w:lang w:val="es-ES" w:eastAsia="es-ES"/>
        </w:rPr>
        <w:t xml:space="preserve"> </w:t>
      </w:r>
      <w:r w:rsidR="00B63E0B" w:rsidRPr="00321DF2">
        <w:rPr>
          <w:rFonts w:ascii="Arial" w:eastAsia="Times New Roman" w:hAnsi="Arial" w:cs="Arial"/>
          <w:b/>
          <w:color w:val="000000"/>
          <w:sz w:val="20"/>
          <w:lang w:val="es-ES" w:eastAsia="es-ES"/>
        </w:rPr>
        <w:t xml:space="preserve">Anexo 1. </w:t>
      </w:r>
      <w:r w:rsidR="00B63E0B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 xml:space="preserve">Avance físico en porcentaje en el trimestre </w:t>
      </w:r>
      <w:r w:rsidR="005E1D23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abril</w:t>
      </w:r>
      <w:r w:rsidR="00B63E0B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-</w:t>
      </w:r>
      <w:r w:rsidR="005E1D23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junio</w:t>
      </w:r>
      <w:r w:rsidR="004205F8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 xml:space="preserve"> </w:t>
      </w:r>
      <w:r w:rsidR="005E1D23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 xml:space="preserve">y periodo de enero-junio </w:t>
      </w:r>
      <w:r w:rsidR="00B63E0B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de 201</w:t>
      </w:r>
      <w:r w:rsidR="004205F8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9</w:t>
      </w:r>
      <w:r w:rsidR="00B63E0B" w:rsidRPr="00321DF2">
        <w:rPr>
          <w:rFonts w:ascii="Arial" w:eastAsia="Times New Roman" w:hAnsi="Arial" w:cs="Arial"/>
          <w:color w:val="000000"/>
          <w:sz w:val="20"/>
          <w:lang w:val="es-ES" w:eastAsia="es-ES"/>
        </w:rPr>
        <w:t>, según Resultado.</w:t>
      </w:r>
    </w:p>
    <w:tbl>
      <w:tblPr>
        <w:tblW w:w="8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99"/>
        <w:gridCol w:w="5141"/>
        <w:gridCol w:w="1560"/>
        <w:gridCol w:w="1678"/>
      </w:tblGrid>
      <w:tr w:rsidR="00861E5F" w:rsidRPr="00321DF2" w:rsidTr="00861E5F">
        <w:trPr>
          <w:cantSplit/>
          <w:trHeight w:val="368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5E1D23" w:rsidRPr="00321DF2" w:rsidRDefault="005E1D23" w:rsidP="00B00F1A">
            <w:pPr>
              <w:keepNext/>
              <w:spacing w:after="0" w:line="216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N o.</w:t>
            </w:r>
          </w:p>
        </w:tc>
        <w:tc>
          <w:tcPr>
            <w:tcW w:w="5141" w:type="dxa"/>
            <w:vMerge w:val="restar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5E1D23" w:rsidRPr="00321DF2" w:rsidRDefault="005E1D23" w:rsidP="00B00F1A">
            <w:pPr>
              <w:keepNext/>
              <w:tabs>
                <w:tab w:val="left" w:pos="708"/>
              </w:tabs>
              <w:spacing w:after="0" w:line="216" w:lineRule="auto"/>
              <w:ind w:left="360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bCs/>
                <w:lang w:val="es-ES" w:eastAsia="es-ES"/>
              </w:rPr>
              <w:t>RESULTADO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E1D23" w:rsidRPr="00321DF2" w:rsidRDefault="005E1D23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b/>
                <w:sz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sz w:val="20"/>
                <w:lang w:val="es-ES" w:eastAsia="es-ES"/>
              </w:rPr>
              <w:t>AVANCE FISICO (%)</w:t>
            </w:r>
          </w:p>
        </w:tc>
      </w:tr>
      <w:tr w:rsidR="00861E5F" w:rsidRPr="00321DF2" w:rsidTr="00861E5F">
        <w:trPr>
          <w:cantSplit/>
          <w:trHeight w:val="558"/>
        </w:trPr>
        <w:tc>
          <w:tcPr>
            <w:tcW w:w="599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</w:p>
        </w:tc>
        <w:tc>
          <w:tcPr>
            <w:tcW w:w="5141" w:type="dxa"/>
            <w:vMerge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s-ES" w:eastAsia="es-E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5F" w:rsidRPr="00321DF2" w:rsidRDefault="00861E5F" w:rsidP="00861E5F">
            <w:pPr>
              <w:spacing w:after="0" w:line="216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lang w:val="es-ES" w:eastAsia="es-ES"/>
              </w:rPr>
              <w:t>TRIMESTRE   ABRIL-JUNIO</w:t>
            </w:r>
          </w:p>
        </w:tc>
        <w:tc>
          <w:tcPr>
            <w:tcW w:w="1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E5F" w:rsidRPr="00321DF2" w:rsidRDefault="00861E5F" w:rsidP="00861E5F">
            <w:pPr>
              <w:spacing w:after="0" w:line="216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lang w:val="es-ES" w:eastAsia="es-ES"/>
              </w:rPr>
              <w:t>PERIODO   ENERO-JUNIO</w:t>
            </w:r>
          </w:p>
        </w:tc>
      </w:tr>
      <w:tr w:rsidR="00861E5F" w:rsidRPr="00321DF2" w:rsidTr="00AF1C23">
        <w:trPr>
          <w:cantSplit/>
          <w:trHeight w:val="377"/>
        </w:trPr>
        <w:tc>
          <w:tcPr>
            <w:tcW w:w="599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sz w:val="18"/>
                <w:szCs w:val="20"/>
                <w:lang w:val="es-ES" w:eastAsia="es-ES"/>
              </w:rPr>
              <w:t>1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keepNext/>
              <w:spacing w:after="0" w:line="216" w:lineRule="auto"/>
              <w:jc w:val="both"/>
              <w:outlineLvl w:val="4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Administración y ordenamiento de la pesca y la acuicultura;</w:t>
            </w:r>
            <w:r w:rsidRPr="00321DF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21DF2"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  <w:t xml:space="preserve">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</w:rPr>
              <w:t>100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1E5F" w:rsidRPr="00321DF2" w:rsidRDefault="003F466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</w:rPr>
              <w:t>100</w:t>
            </w:r>
          </w:p>
        </w:tc>
      </w:tr>
      <w:tr w:rsidR="00861E5F" w:rsidRPr="00321DF2" w:rsidTr="00AF1C23">
        <w:trPr>
          <w:cantSplit/>
          <w:trHeight w:val="385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sz w:val="18"/>
                <w:szCs w:val="20"/>
                <w:lang w:val="es-ES" w:eastAsia="es-ES"/>
              </w:rPr>
              <w:t>2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keepNext/>
              <w:spacing w:after="0" w:line="216" w:lineRule="auto"/>
              <w:jc w:val="both"/>
              <w:outlineLvl w:val="4"/>
              <w:rPr>
                <w:rFonts w:ascii="Arial" w:eastAsia="Times New Roman" w:hAnsi="Arial" w:cs="Arial"/>
                <w:sz w:val="18"/>
                <w:szCs w:val="24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Desarrollo y fomento del sub-sector acuícola;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77.</w:t>
            </w:r>
            <w:r w:rsidR="00AF1C23" w:rsidRPr="00321DF2">
              <w:rPr>
                <w:rFonts w:ascii="Arial" w:hAnsi="Arial" w:cs="Arial"/>
                <w:szCs w:val="20"/>
              </w:rPr>
              <w:t>8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bottom"/>
          </w:tcPr>
          <w:p w:rsidR="00861E5F" w:rsidRPr="00321DF2" w:rsidRDefault="003F466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81.0</w:t>
            </w:r>
          </w:p>
        </w:tc>
      </w:tr>
      <w:tr w:rsidR="00861E5F" w:rsidRPr="00321DF2" w:rsidTr="00AF1C23">
        <w:trPr>
          <w:cantSplit/>
          <w:trHeight w:val="293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3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28" w:lineRule="auto"/>
              <w:jc w:val="both"/>
              <w:rPr>
                <w:rFonts w:ascii="Arial" w:eastAsia="Times New Roman" w:hAnsi="Arial" w:cs="Arial"/>
                <w:sz w:val="18"/>
                <w:szCs w:val="18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Desarrollo y fomento del sub-sector pesquero;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43.</w:t>
            </w:r>
            <w:r w:rsidR="00AF1C23" w:rsidRPr="00321DF2">
              <w:rPr>
                <w:rFonts w:ascii="Arial" w:hAnsi="Arial" w:cs="Arial"/>
                <w:szCs w:val="20"/>
              </w:rPr>
              <w:t>9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bottom"/>
          </w:tcPr>
          <w:p w:rsidR="00861E5F" w:rsidRPr="00321DF2" w:rsidRDefault="003F466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55.4</w:t>
            </w:r>
          </w:p>
        </w:tc>
      </w:tr>
      <w:tr w:rsidR="00861E5F" w:rsidRPr="00321DF2" w:rsidTr="00AF1C23">
        <w:trPr>
          <w:cantSplit/>
          <w:trHeight w:val="351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4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tabs>
                <w:tab w:val="left" w:pos="196"/>
              </w:tabs>
              <w:spacing w:after="0" w:line="21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20"/>
                <w:szCs w:val="20"/>
                <w:lang w:eastAsia="es-SV"/>
              </w:rPr>
              <w:t>Desarrollo de la acuicultura familiar;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100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bottom"/>
          </w:tcPr>
          <w:p w:rsidR="00861E5F" w:rsidRPr="00321DF2" w:rsidRDefault="003F466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100</w:t>
            </w:r>
          </w:p>
        </w:tc>
      </w:tr>
      <w:tr w:rsidR="00861E5F" w:rsidRPr="00321DF2" w:rsidTr="00AF1C23">
        <w:trPr>
          <w:cantSplit/>
          <w:trHeight w:val="351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5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tabs>
                <w:tab w:val="left" w:pos="196"/>
              </w:tabs>
              <w:spacing w:after="0" w:line="21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Desarrollo de la investigación y transferencia de nuevas tecnologías de pesca y acuicultura;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24.3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bottom"/>
          </w:tcPr>
          <w:p w:rsidR="00861E5F" w:rsidRPr="00321DF2" w:rsidRDefault="003F466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24.3</w:t>
            </w:r>
          </w:p>
        </w:tc>
      </w:tr>
      <w:tr w:rsidR="00861E5F" w:rsidRPr="00321DF2" w:rsidTr="00AF1C23">
        <w:trPr>
          <w:cantSplit/>
          <w:trHeight w:val="313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6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tabs>
                <w:tab w:val="left" w:pos="196"/>
              </w:tabs>
              <w:spacing w:after="0" w:line="21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Rehabilitación y mantenimiento de la infraestructura pesquera y acuícola;4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bottom"/>
          </w:tcPr>
          <w:p w:rsidR="00861E5F" w:rsidRPr="00321DF2" w:rsidRDefault="00861E5F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100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bottom"/>
          </w:tcPr>
          <w:p w:rsidR="00861E5F" w:rsidRPr="00321DF2" w:rsidRDefault="00AF1C23" w:rsidP="00AF1C23">
            <w:pPr>
              <w:jc w:val="center"/>
              <w:rPr>
                <w:rFonts w:ascii="Arial" w:hAnsi="Arial" w:cs="Arial"/>
                <w:szCs w:val="20"/>
              </w:rPr>
            </w:pPr>
            <w:r w:rsidRPr="00321DF2">
              <w:rPr>
                <w:rFonts w:ascii="Arial" w:hAnsi="Arial" w:cs="Arial"/>
                <w:szCs w:val="20"/>
              </w:rPr>
              <w:t>66.7</w:t>
            </w:r>
          </w:p>
        </w:tc>
      </w:tr>
      <w:tr w:rsidR="00861E5F" w:rsidRPr="00321DF2" w:rsidTr="00AF1C23">
        <w:trPr>
          <w:cantSplit/>
          <w:trHeight w:val="351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lastRenderedPageBreak/>
              <w:t>7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tabs>
                <w:tab w:val="left" w:pos="196"/>
              </w:tabs>
              <w:spacing w:after="0" w:line="21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Transferencia y divulgación de las investigaciones de pesca y acuicultura por medio del Nuevo Consejo Nacional en Ciencia y Tecnología (NCONACYT;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center"/>
          </w:tcPr>
          <w:p w:rsidR="00861E5F" w:rsidRPr="00321DF2" w:rsidRDefault="00861E5F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color w:val="000000" w:themeColor="text1"/>
                <w:lang w:val="es-ES" w:eastAsia="es-ES"/>
              </w:rPr>
              <w:t>100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center"/>
          </w:tcPr>
          <w:p w:rsidR="00861E5F" w:rsidRPr="00321DF2" w:rsidRDefault="00AF1C23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" w:eastAsia="es-ES"/>
              </w:rPr>
              <w:t>100</w:t>
            </w:r>
          </w:p>
        </w:tc>
      </w:tr>
      <w:tr w:rsidR="00861E5F" w:rsidRPr="00321DF2" w:rsidTr="00AF1C23">
        <w:trPr>
          <w:cantSplit/>
          <w:trHeight w:val="351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8</w:t>
            </w: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C54A12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321DF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Fortalecimiento del programa de Erradicación del Trabajo Infantil en la pesca y la acuicultura.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center"/>
          </w:tcPr>
          <w:p w:rsidR="00861E5F" w:rsidRPr="00321DF2" w:rsidRDefault="00861E5F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color w:val="000000" w:themeColor="text1"/>
                <w:lang w:val="es-ES" w:eastAsia="es-ES"/>
              </w:rPr>
              <w:t>100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center"/>
          </w:tcPr>
          <w:p w:rsidR="00861E5F" w:rsidRPr="00321DF2" w:rsidRDefault="00AF1C23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val="es-ES" w:eastAsia="es-ES"/>
              </w:rPr>
              <w:t>100</w:t>
            </w:r>
          </w:p>
        </w:tc>
      </w:tr>
      <w:tr w:rsidR="00861E5F" w:rsidRPr="00321DF2" w:rsidTr="00AF1C23">
        <w:trPr>
          <w:cantSplit/>
          <w:trHeight w:val="351"/>
        </w:trPr>
        <w:tc>
          <w:tcPr>
            <w:tcW w:w="5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spacing w:after="0" w:line="216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</w:p>
        </w:tc>
        <w:tc>
          <w:tcPr>
            <w:tcW w:w="51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61E5F" w:rsidRPr="00321DF2" w:rsidRDefault="00861E5F" w:rsidP="00B00F1A">
            <w:pPr>
              <w:tabs>
                <w:tab w:val="left" w:pos="196"/>
              </w:tabs>
              <w:spacing w:after="0" w:line="216" w:lineRule="auto"/>
              <w:jc w:val="both"/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sz w:val="18"/>
                <w:szCs w:val="20"/>
                <w:lang w:val="es-ES" w:eastAsia="es-ES"/>
              </w:rPr>
              <w:t>TOTAL INSTITUCION</w:t>
            </w:r>
          </w:p>
        </w:tc>
        <w:tc>
          <w:tcPr>
            <w:tcW w:w="1560" w:type="dxa"/>
            <w:tcBorders>
              <w:left w:val="single" w:sz="6" w:space="0" w:color="auto"/>
            </w:tcBorders>
            <w:vAlign w:val="center"/>
          </w:tcPr>
          <w:p w:rsidR="00861E5F" w:rsidRPr="00321DF2" w:rsidRDefault="00861E5F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70.</w:t>
            </w:r>
            <w:r w:rsidR="00AF1C23" w:rsidRPr="00321DF2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8</w:t>
            </w:r>
          </w:p>
        </w:tc>
        <w:tc>
          <w:tcPr>
            <w:tcW w:w="1678" w:type="dxa"/>
            <w:tcBorders>
              <w:left w:val="single" w:sz="6" w:space="0" w:color="auto"/>
            </w:tcBorders>
            <w:vAlign w:val="center"/>
          </w:tcPr>
          <w:p w:rsidR="00861E5F" w:rsidRPr="00321DF2" w:rsidRDefault="00AF1C23" w:rsidP="00AF1C23">
            <w:pPr>
              <w:spacing w:after="0" w:line="21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321DF2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  <w:t>71.9</w:t>
            </w:r>
          </w:p>
        </w:tc>
      </w:tr>
    </w:tbl>
    <w:p w:rsidR="00B63E0B" w:rsidRPr="00321DF2" w:rsidRDefault="00B63E0B" w:rsidP="00B63E0B">
      <w:pPr>
        <w:spacing w:after="0" w:line="216" w:lineRule="auto"/>
        <w:jc w:val="both"/>
        <w:rPr>
          <w:rFonts w:ascii="Arial" w:eastAsia="Times New Roman" w:hAnsi="Arial" w:cs="Arial"/>
          <w:sz w:val="20"/>
          <w:vertAlign w:val="superscript"/>
          <w:lang w:val="es-ES" w:eastAsia="es-ES"/>
        </w:rPr>
      </w:pPr>
      <w:r w:rsidRPr="00321DF2">
        <w:rPr>
          <w:rFonts w:ascii="Arial" w:eastAsia="Times New Roman" w:hAnsi="Arial" w:cs="Arial"/>
          <w:b/>
          <w:sz w:val="20"/>
          <w:lang w:val="es-ES" w:eastAsia="es-ES"/>
        </w:rPr>
        <w:t>FUENTE: CENDEPESCA.</w:t>
      </w:r>
      <w:r w:rsidRPr="00321DF2">
        <w:rPr>
          <w:rFonts w:ascii="Arial" w:eastAsia="Times New Roman" w:hAnsi="Arial" w:cs="Arial"/>
          <w:sz w:val="20"/>
          <w:lang w:val="es-ES" w:eastAsia="es-ES"/>
        </w:rPr>
        <w:t xml:space="preserve"> Informe de avance físico, </w:t>
      </w:r>
      <w:r w:rsidR="00AF1C23" w:rsidRPr="00321DF2">
        <w:rPr>
          <w:rFonts w:ascii="Arial" w:eastAsia="Times New Roman" w:hAnsi="Arial" w:cs="Arial"/>
          <w:sz w:val="20"/>
          <w:lang w:val="es-ES" w:eastAsia="es-ES"/>
        </w:rPr>
        <w:t>segundo</w:t>
      </w:r>
      <w:r w:rsidRPr="00321DF2">
        <w:rPr>
          <w:rFonts w:ascii="Arial" w:eastAsia="Times New Roman" w:hAnsi="Arial" w:cs="Arial"/>
          <w:sz w:val="20"/>
          <w:lang w:val="es-ES" w:eastAsia="es-ES"/>
        </w:rPr>
        <w:t xml:space="preserve"> trimestre de 201</w:t>
      </w:r>
      <w:r w:rsidR="004205F8" w:rsidRPr="00321DF2">
        <w:rPr>
          <w:rFonts w:ascii="Arial" w:eastAsia="Times New Roman" w:hAnsi="Arial" w:cs="Arial"/>
          <w:sz w:val="20"/>
          <w:lang w:val="es-ES" w:eastAsia="es-ES"/>
        </w:rPr>
        <w:t>9</w:t>
      </w:r>
      <w:r w:rsidRPr="00321DF2">
        <w:rPr>
          <w:rFonts w:ascii="Arial" w:eastAsia="Times New Roman" w:hAnsi="Arial" w:cs="Arial"/>
          <w:sz w:val="20"/>
          <w:lang w:val="es-ES" w:eastAsia="es-ES"/>
        </w:rPr>
        <w:t xml:space="preserve">. </w:t>
      </w:r>
    </w:p>
    <w:p w:rsidR="00B63E0B" w:rsidRPr="00321DF2" w:rsidRDefault="00B63E0B" w:rsidP="00B63E0B">
      <w:pPr>
        <w:spacing w:after="0" w:line="216" w:lineRule="auto"/>
        <w:jc w:val="both"/>
        <w:rPr>
          <w:rFonts w:ascii="Arial" w:eastAsia="Times New Roman" w:hAnsi="Arial" w:cs="Arial"/>
          <w:lang w:val="es-ES" w:eastAsia="es-ES"/>
        </w:rPr>
      </w:pPr>
    </w:p>
    <w:p w:rsidR="00ED1323" w:rsidRPr="00B63E0B" w:rsidRDefault="00ED1323">
      <w:pPr>
        <w:rPr>
          <w:lang w:val="es-ES"/>
        </w:rPr>
      </w:pPr>
    </w:p>
    <w:sectPr w:rsidR="00ED1323" w:rsidRPr="00B63E0B" w:rsidSect="004557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63E79"/>
    <w:multiLevelType w:val="hybridMultilevel"/>
    <w:tmpl w:val="D68C3B40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553BB1"/>
    <w:multiLevelType w:val="hybridMultilevel"/>
    <w:tmpl w:val="64A6A452"/>
    <w:lvl w:ilvl="0" w:tplc="0C0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185537"/>
    <w:multiLevelType w:val="hybridMultilevel"/>
    <w:tmpl w:val="B936F00C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3E0B"/>
    <w:rsid w:val="0002288D"/>
    <w:rsid w:val="00030EAC"/>
    <w:rsid w:val="00071E6E"/>
    <w:rsid w:val="000B3DF4"/>
    <w:rsid w:val="000D097C"/>
    <w:rsid w:val="001220B1"/>
    <w:rsid w:val="0012304E"/>
    <w:rsid w:val="00143DF8"/>
    <w:rsid w:val="001A7855"/>
    <w:rsid w:val="001C413A"/>
    <w:rsid w:val="001C798E"/>
    <w:rsid w:val="001D18AE"/>
    <w:rsid w:val="001F3FDC"/>
    <w:rsid w:val="00261BDE"/>
    <w:rsid w:val="002C3ED1"/>
    <w:rsid w:val="00321DF2"/>
    <w:rsid w:val="0038254B"/>
    <w:rsid w:val="003B291C"/>
    <w:rsid w:val="003C679F"/>
    <w:rsid w:val="003E6C1D"/>
    <w:rsid w:val="003F35BF"/>
    <w:rsid w:val="003F466F"/>
    <w:rsid w:val="004128EB"/>
    <w:rsid w:val="004205F8"/>
    <w:rsid w:val="004328B5"/>
    <w:rsid w:val="00441623"/>
    <w:rsid w:val="004A1453"/>
    <w:rsid w:val="00507A71"/>
    <w:rsid w:val="00516746"/>
    <w:rsid w:val="005D4609"/>
    <w:rsid w:val="005E1D23"/>
    <w:rsid w:val="00635BF0"/>
    <w:rsid w:val="00661E91"/>
    <w:rsid w:val="006A0D31"/>
    <w:rsid w:val="006B1AD8"/>
    <w:rsid w:val="00733374"/>
    <w:rsid w:val="00751B55"/>
    <w:rsid w:val="00764A1A"/>
    <w:rsid w:val="00822BC1"/>
    <w:rsid w:val="00861E5F"/>
    <w:rsid w:val="008710B3"/>
    <w:rsid w:val="00890358"/>
    <w:rsid w:val="008C4A06"/>
    <w:rsid w:val="009145E8"/>
    <w:rsid w:val="00941B0B"/>
    <w:rsid w:val="00956AA3"/>
    <w:rsid w:val="009A3F97"/>
    <w:rsid w:val="009E3B25"/>
    <w:rsid w:val="00A04F05"/>
    <w:rsid w:val="00A45D8C"/>
    <w:rsid w:val="00A55602"/>
    <w:rsid w:val="00A56C50"/>
    <w:rsid w:val="00A705FE"/>
    <w:rsid w:val="00A72105"/>
    <w:rsid w:val="00A81889"/>
    <w:rsid w:val="00AE4B71"/>
    <w:rsid w:val="00AF1C23"/>
    <w:rsid w:val="00B00FB8"/>
    <w:rsid w:val="00B059E4"/>
    <w:rsid w:val="00B27665"/>
    <w:rsid w:val="00B40F65"/>
    <w:rsid w:val="00B6251D"/>
    <w:rsid w:val="00B63E0B"/>
    <w:rsid w:val="00B859EA"/>
    <w:rsid w:val="00BD6536"/>
    <w:rsid w:val="00C30462"/>
    <w:rsid w:val="00C54A12"/>
    <w:rsid w:val="00D4533A"/>
    <w:rsid w:val="00D923AE"/>
    <w:rsid w:val="00DA6B93"/>
    <w:rsid w:val="00DC0534"/>
    <w:rsid w:val="00ED1323"/>
    <w:rsid w:val="00ED386D"/>
    <w:rsid w:val="00F44204"/>
    <w:rsid w:val="00F77097"/>
    <w:rsid w:val="00F9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E0B"/>
    <w:pPr>
      <w:spacing w:after="160" w:line="259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F1C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63E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63E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63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3E0B"/>
    <w:rPr>
      <w:rFonts w:ascii="Tahoma" w:hAnsi="Tahoma" w:cs="Tahoma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semiHidden/>
    <w:rsid w:val="00941B0B"/>
    <w:pPr>
      <w:spacing w:after="0" w:line="240" w:lineRule="auto"/>
      <w:jc w:val="both"/>
    </w:pPr>
    <w:rPr>
      <w:rFonts w:ascii="Arial" w:eastAsia="Calibri" w:hAnsi="Arial" w:cs="Arial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41B0B"/>
    <w:rPr>
      <w:rFonts w:ascii="Arial" w:eastAsia="Calibri" w:hAnsi="Arial" w:cs="Arial"/>
      <w:lang w:val="es-ES" w:eastAsia="es-ES"/>
    </w:rPr>
  </w:style>
  <w:style w:type="paragraph" w:styleId="Ttulo">
    <w:name w:val="Title"/>
    <w:basedOn w:val="Normal"/>
    <w:link w:val="TtuloCar"/>
    <w:uiPriority w:val="99"/>
    <w:qFormat/>
    <w:rsid w:val="00941B0B"/>
    <w:pPr>
      <w:spacing w:after="200" w:line="276" w:lineRule="auto"/>
      <w:jc w:val="center"/>
    </w:pPr>
    <w:rPr>
      <w:rFonts w:ascii="Calibri" w:eastAsia="Times New Roman" w:hAnsi="Calibri" w:cs="Times New Roman"/>
      <w:sz w:val="32"/>
    </w:rPr>
  </w:style>
  <w:style w:type="character" w:customStyle="1" w:styleId="TtuloCar">
    <w:name w:val="Título Car"/>
    <w:basedOn w:val="Fuentedeprrafopredeter"/>
    <w:link w:val="Ttulo"/>
    <w:uiPriority w:val="99"/>
    <w:rsid w:val="00941B0B"/>
    <w:rPr>
      <w:rFonts w:ascii="Calibri" w:eastAsia="Times New Roman" w:hAnsi="Calibri" w:cs="Times New Roman"/>
      <w:sz w:val="32"/>
    </w:rPr>
  </w:style>
  <w:style w:type="paragraph" w:styleId="Prrafodelista">
    <w:name w:val="List Paragraph"/>
    <w:basedOn w:val="Normal"/>
    <w:uiPriority w:val="34"/>
    <w:qFormat/>
    <w:rsid w:val="004205F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AF1C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3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9.071641817968687E-2"/>
          <c:y val="7.3469387755102131E-2"/>
          <c:w val="0.89544263152672954"/>
          <c:h val="0.74285714285714288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8"/>
            <c:spPr>
              <a:solidFill>
                <a:schemeClr val="accent6">
                  <a:lumMod val="60000"/>
                  <a:lumOff val="4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4.5351473922902695E-3"/>
                  <c:y val="1.075268817204297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1.0752688172043012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2.1505376344086041E-2"/>
                </c:manualLayout>
              </c:layout>
              <c:showVal val="1"/>
            </c:dLbl>
            <c:dLbl>
              <c:idx val="5"/>
              <c:layout>
                <c:manualLayout>
                  <c:x val="-4.5819014891179894E-3"/>
                  <c:y val="0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2.6881297095927681E-2"/>
                </c:manualLayout>
              </c:layout>
              <c:showVal val="1"/>
            </c:dLbl>
            <c:showVal val="1"/>
          </c:dLbls>
          <c:cat>
            <c:strRef>
              <c:f>Sheet1!$B$1:$J$1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TOTAL OFICINA</c:v>
                </c:pt>
              </c:strCache>
            </c:strRef>
          </c:cat>
          <c:val>
            <c:numRef>
              <c:f>Sheet1!$B$2:$J$2</c:f>
              <c:numCache>
                <c:formatCode>0.0</c:formatCode>
                <c:ptCount val="9"/>
                <c:pt idx="0" formatCode="General">
                  <c:v>100</c:v>
                </c:pt>
                <c:pt idx="1">
                  <c:v>77.45</c:v>
                </c:pt>
                <c:pt idx="2">
                  <c:v>43.87</c:v>
                </c:pt>
                <c:pt idx="3" formatCode="General">
                  <c:v>100</c:v>
                </c:pt>
                <c:pt idx="4" formatCode="General">
                  <c:v>24.310000000000031</c:v>
                </c:pt>
                <c:pt idx="5" formatCode="General">
                  <c:v>100</c:v>
                </c:pt>
                <c:pt idx="6" formatCode="General">
                  <c:v>100</c:v>
                </c:pt>
                <c:pt idx="7" formatCode="General">
                  <c:v>100</c:v>
                </c:pt>
                <c:pt idx="8">
                  <c:v>70.760000000000005</c:v>
                </c:pt>
              </c:numCache>
            </c:numRef>
          </c:val>
        </c:ser>
        <c:dLbls>
          <c:showVal val="1"/>
        </c:dLbls>
        <c:gapWidth val="77"/>
        <c:axId val="74142848"/>
        <c:axId val="74144384"/>
      </c:barChart>
      <c:catAx>
        <c:axId val="7414284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74144384"/>
        <c:crosses val="autoZero"/>
        <c:auto val="1"/>
        <c:lblAlgn val="ctr"/>
        <c:lblOffset val="100"/>
        <c:tickLblSkip val="1"/>
        <c:tickMarkSkip val="1"/>
      </c:catAx>
      <c:valAx>
        <c:axId val="74144384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/>
              <a:lstStyle/>
              <a:p>
                <a:pPr algn="ctr"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s-SV"/>
                  <a:t>PORCENTAJE</a:t>
                </a:r>
              </a:p>
            </c:rich>
          </c:tx>
          <c:layout>
            <c:manualLayout>
              <c:xMode val="edge"/>
              <c:yMode val="edge"/>
              <c:x val="1.0796242092775039E-2"/>
              <c:y val="0.1196621793243587"/>
            </c:manualLayout>
          </c:layout>
          <c:spPr>
            <a:noFill/>
            <a:ln w="25399">
              <a:noFill/>
            </a:ln>
          </c:spPr>
        </c:title>
        <c:numFmt formatCode="0;[Red]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741428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 w="12700">
      <a:solidFill>
        <a:srgbClr val="000000"/>
      </a:solidFill>
      <a:prstDash val="solid"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s-SV"/>
  <c:chart>
    <c:autoTitleDeleted val="1"/>
    <c:plotArea>
      <c:layout>
        <c:manualLayout>
          <c:layoutTarget val="inner"/>
          <c:xMode val="edge"/>
          <c:yMode val="edge"/>
          <c:x val="9.0716418179686911E-2"/>
          <c:y val="7.3469387755102089E-2"/>
          <c:w val="0.89544263152672932"/>
          <c:h val="0.74285714285714288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0070C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8"/>
            <c:spPr>
              <a:solidFill>
                <a:schemeClr val="accent6">
                  <a:lumMod val="60000"/>
                  <a:lumOff val="40000"/>
                </a:schemeClr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1"/>
              <c:layout>
                <c:manualLayout>
                  <c:x val="4.5351473922902721E-3"/>
                  <c:y val="1.0752688172042979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5.3763440860215214E-3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2.150537634408603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2.6881720430107621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2.6881297095927688E-2"/>
                </c:manualLayout>
              </c:layout>
              <c:showVal val="1"/>
            </c:dLbl>
            <c:showVal val="1"/>
          </c:dLbls>
          <c:cat>
            <c:strRef>
              <c:f>Sheet1!$B$1:$J$1</c:f>
              <c:strCache>
                <c:ptCount val="9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TOTAL OFICINA</c:v>
                </c:pt>
              </c:strCache>
            </c:strRef>
          </c:cat>
          <c:val>
            <c:numRef>
              <c:f>Sheet1!$B$2:$J$2</c:f>
              <c:numCache>
                <c:formatCode>0.0</c:formatCode>
                <c:ptCount val="9"/>
                <c:pt idx="0" formatCode="General">
                  <c:v>100</c:v>
                </c:pt>
                <c:pt idx="1">
                  <c:v>81.03</c:v>
                </c:pt>
                <c:pt idx="2">
                  <c:v>55.43</c:v>
                </c:pt>
                <c:pt idx="3" formatCode="General">
                  <c:v>100</c:v>
                </c:pt>
                <c:pt idx="4">
                  <c:v>24.310000000000031</c:v>
                </c:pt>
                <c:pt idx="5">
                  <c:v>66.669999999999987</c:v>
                </c:pt>
                <c:pt idx="6" formatCode="General">
                  <c:v>100</c:v>
                </c:pt>
                <c:pt idx="7" formatCode="General">
                  <c:v>100</c:v>
                </c:pt>
                <c:pt idx="8">
                  <c:v>71.92</c:v>
                </c:pt>
              </c:numCache>
            </c:numRef>
          </c:val>
        </c:ser>
        <c:dLbls>
          <c:showVal val="1"/>
        </c:dLbls>
        <c:gapWidth val="77"/>
        <c:axId val="74164864"/>
        <c:axId val="74174848"/>
      </c:barChart>
      <c:catAx>
        <c:axId val="74164864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74174848"/>
        <c:crosses val="autoZero"/>
        <c:auto val="1"/>
        <c:lblAlgn val="ctr"/>
        <c:lblOffset val="100"/>
        <c:tickLblSkip val="1"/>
        <c:tickMarkSkip val="1"/>
      </c:catAx>
      <c:valAx>
        <c:axId val="74174848"/>
        <c:scaling>
          <c:orientation val="minMax"/>
          <c:max val="120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0" vert="wordArtVert"/>
              <a:lstStyle/>
              <a:p>
                <a:pPr algn="ctr">
                  <a:defRPr sz="80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es-SV"/>
                  <a:t>PORCENTAJE</a:t>
                </a:r>
              </a:p>
            </c:rich>
          </c:tx>
          <c:layout>
            <c:manualLayout>
              <c:xMode val="edge"/>
              <c:yMode val="edge"/>
              <c:x val="1.0796242092775039E-2"/>
              <c:y val="0.11966217932435864"/>
            </c:manualLayout>
          </c:layout>
          <c:spPr>
            <a:noFill/>
            <a:ln w="25399">
              <a:noFill/>
            </a:ln>
          </c:spPr>
        </c:title>
        <c:numFmt formatCode="0;[Red]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es-SV"/>
          </a:p>
        </c:txPr>
        <c:crossAx val="74164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 w="12700">
      <a:solidFill>
        <a:srgbClr val="000000"/>
      </a:solidFill>
      <a:prstDash val="solid"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s-SV"/>
    </a:p>
  </c:txPr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898C9-D9D3-40F5-8ADD-876F07E51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944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aarteaga</dc:creator>
  <cp:lastModifiedBy>aarteaga</cp:lastModifiedBy>
  <cp:revision>2</cp:revision>
  <dcterms:created xsi:type="dcterms:W3CDTF">2019-08-12T14:04:00Z</dcterms:created>
  <dcterms:modified xsi:type="dcterms:W3CDTF">2019-08-12T14:04:00Z</dcterms:modified>
</cp:coreProperties>
</file>