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C9" w:rsidRPr="00177218" w:rsidRDefault="007876C9" w:rsidP="0037220B">
      <w:pPr>
        <w:pStyle w:val="Sinespaciado"/>
      </w:pPr>
      <w:bookmarkStart w:id="0" w:name="_GoBack"/>
      <w:bookmarkEnd w:id="0"/>
      <w:r w:rsidRPr="00177218">
        <w:t>BORRADOR DE DECRETO LEGISLATIVO</w:t>
      </w:r>
    </w:p>
    <w:p w:rsidR="007876C9" w:rsidRPr="00177218" w:rsidRDefault="007876C9" w:rsidP="007876C9">
      <w:pPr>
        <w:rPr>
          <w:rFonts w:ascii="Calibri" w:hAnsi="Calibri"/>
          <w:b/>
          <w:sz w:val="22"/>
          <w:szCs w:val="22"/>
        </w:rPr>
      </w:pPr>
    </w:p>
    <w:p w:rsidR="007876C9" w:rsidRPr="00177218" w:rsidRDefault="007876C9" w:rsidP="007876C9">
      <w:pPr>
        <w:rPr>
          <w:rFonts w:ascii="Calibri" w:hAnsi="Calibri"/>
          <w:b/>
          <w:sz w:val="22"/>
          <w:szCs w:val="22"/>
        </w:rPr>
      </w:pPr>
      <w:r w:rsidRPr="00177218">
        <w:rPr>
          <w:rFonts w:ascii="Calibri" w:hAnsi="Calibri"/>
          <w:b/>
          <w:sz w:val="22"/>
          <w:szCs w:val="22"/>
        </w:rPr>
        <w:t xml:space="preserve">DECRETO No. ____  </w:t>
      </w:r>
    </w:p>
    <w:p w:rsidR="007876C9" w:rsidRPr="00177218" w:rsidRDefault="007876C9" w:rsidP="007876C9">
      <w:pPr>
        <w:shd w:val="clear" w:color="auto" w:fill="FFFFFF" w:themeFill="background1"/>
        <w:jc w:val="both"/>
        <w:rPr>
          <w:rFonts w:ascii="Tahoma" w:eastAsiaTheme="minorEastAsia" w:hAnsi="Tahoma" w:cs="Tahoma"/>
          <w:b/>
          <w:sz w:val="20"/>
          <w:szCs w:val="20"/>
          <w:lang w:eastAsia="es-SV"/>
        </w:rPr>
      </w:pPr>
    </w:p>
    <w:p w:rsidR="007876C9" w:rsidRPr="00177218" w:rsidRDefault="007876C9" w:rsidP="007876C9">
      <w:pPr>
        <w:shd w:val="clear" w:color="auto" w:fill="FFFFFF" w:themeFill="background1"/>
        <w:jc w:val="both"/>
        <w:rPr>
          <w:rFonts w:ascii="Tahoma" w:eastAsiaTheme="minorEastAsia" w:hAnsi="Tahoma" w:cs="Tahoma"/>
          <w:b/>
          <w:sz w:val="20"/>
          <w:szCs w:val="20"/>
          <w:lang w:eastAsia="es-SV"/>
        </w:rPr>
      </w:pPr>
      <w:r w:rsidRPr="00177218">
        <w:rPr>
          <w:rFonts w:ascii="Tahoma" w:eastAsiaTheme="minorEastAsia" w:hAnsi="Tahoma" w:cs="Tahoma"/>
          <w:b/>
          <w:sz w:val="20"/>
          <w:szCs w:val="20"/>
          <w:lang w:eastAsia="es-SV"/>
        </w:rPr>
        <w:tab/>
        <w:t>LA ASAMBLEA LEGISLATIVA DE LA REPÚBLICA DE EL SALVADOR,</w:t>
      </w:r>
    </w:p>
    <w:p w:rsidR="007876C9" w:rsidRPr="00177218" w:rsidRDefault="007876C9" w:rsidP="007876C9">
      <w:pPr>
        <w:shd w:val="clear" w:color="auto" w:fill="FFFFFF" w:themeFill="background1"/>
        <w:jc w:val="both"/>
        <w:rPr>
          <w:rFonts w:ascii="Tahoma" w:eastAsiaTheme="minorEastAsia" w:hAnsi="Tahoma" w:cs="Tahoma"/>
          <w:b/>
          <w:sz w:val="20"/>
          <w:szCs w:val="20"/>
          <w:lang w:eastAsia="es-SV"/>
        </w:rPr>
      </w:pPr>
    </w:p>
    <w:p w:rsidR="007876C9" w:rsidRPr="00177218" w:rsidRDefault="007876C9" w:rsidP="007876C9">
      <w:pPr>
        <w:shd w:val="clear" w:color="auto" w:fill="FFFFFF" w:themeFill="background1"/>
        <w:jc w:val="both"/>
        <w:rPr>
          <w:rFonts w:ascii="Tahoma" w:eastAsiaTheme="minorEastAsia" w:hAnsi="Tahoma" w:cs="Tahoma"/>
          <w:b/>
          <w:sz w:val="20"/>
          <w:szCs w:val="20"/>
          <w:lang w:eastAsia="es-SV"/>
        </w:rPr>
      </w:pPr>
      <w:r w:rsidRPr="00177218">
        <w:rPr>
          <w:rFonts w:ascii="Tahoma" w:eastAsiaTheme="minorEastAsia" w:hAnsi="Tahoma" w:cs="Tahoma"/>
          <w:b/>
          <w:sz w:val="20"/>
          <w:szCs w:val="20"/>
          <w:lang w:eastAsia="es-SV"/>
        </w:rPr>
        <w:t>CONSIDERANDO:</w:t>
      </w:r>
    </w:p>
    <w:p w:rsidR="00070CF0" w:rsidRPr="00177218" w:rsidRDefault="00070CF0" w:rsidP="007876C9">
      <w:pPr>
        <w:shd w:val="clear" w:color="auto" w:fill="FFFFFF" w:themeFill="background1"/>
        <w:jc w:val="both"/>
        <w:rPr>
          <w:rFonts w:ascii="Tahoma" w:eastAsiaTheme="minorEastAsia" w:hAnsi="Tahoma" w:cs="Tahoma"/>
          <w:b/>
          <w:sz w:val="20"/>
          <w:szCs w:val="20"/>
          <w:lang w:eastAsia="es-SV"/>
        </w:rPr>
      </w:pPr>
    </w:p>
    <w:p w:rsidR="007876C9" w:rsidRPr="00177218" w:rsidRDefault="007876C9" w:rsidP="007876C9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Que el Ministerio de Agricultura y Ganadería es la autoridad competente para la consecución de los fines de la Ley de Riego y Avenamiento  los cuales son incrementar la producción y la productividad agropecuaria mediante la utilización racional de los recursos suelo y agua, así como la extensión de los beneficios derivados de tal incremento, al mayor número posible de habitantes del país, de conformidad al artículo 1 y 6 de la Ley de Riego y Avenamiento.</w:t>
      </w:r>
    </w:p>
    <w:p w:rsidR="007876C9" w:rsidRPr="00177218" w:rsidRDefault="007876C9" w:rsidP="007876C9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Que como parte de las atribuciones asignadas a </w:t>
      </w:r>
      <w:r w:rsidR="00950799" w:rsidRPr="00177218">
        <w:rPr>
          <w:rFonts w:ascii="Calibri" w:hAnsi="Calibri"/>
          <w:sz w:val="22"/>
          <w:szCs w:val="22"/>
        </w:rPr>
        <w:t xml:space="preserve">ese </w:t>
      </w:r>
      <w:r w:rsidRPr="00177218">
        <w:rPr>
          <w:rFonts w:ascii="Calibri" w:hAnsi="Calibri"/>
          <w:sz w:val="22"/>
          <w:szCs w:val="22"/>
        </w:rPr>
        <w:t>Ministerio, se encuentra la autorización para utilizar en forma transitoria aguas nacionales con fines de riego, debido a que solo pueden aprovecharse aguas nacionales con fines de riego, mediante permiso o concesión otorgados por el Ministerio de Agricultura y Ganadería de conformidad a referida Ley y su Reglamento General.</w:t>
      </w:r>
    </w:p>
    <w:p w:rsidR="007876C9" w:rsidRPr="00177218" w:rsidRDefault="007876C9" w:rsidP="007876C9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Que de conformidad al artículo 51 de la Ley de Riego y Avenamiento los concesionarios o titulares de permisos de utilización de aguas nacionales con fines agropecuarios que no estén comprendidos en un Distrito de Riego y Avenamiento, pagaran por el aprovechamiento de las aguas los derechos que al efecto señale la tarifa determinada por la Asamblea Legislativa a propuesta del Poder Ejecutivo en los Ramos de Agricultura y </w:t>
      </w:r>
      <w:r w:rsidR="00701FAB" w:rsidRPr="00177218">
        <w:rPr>
          <w:rFonts w:ascii="Calibri" w:hAnsi="Calibri"/>
          <w:sz w:val="22"/>
          <w:szCs w:val="22"/>
        </w:rPr>
        <w:t xml:space="preserve">Ganadería y de </w:t>
      </w:r>
      <w:r w:rsidRPr="00177218">
        <w:rPr>
          <w:rFonts w:ascii="Calibri" w:hAnsi="Calibri"/>
          <w:sz w:val="22"/>
          <w:szCs w:val="22"/>
        </w:rPr>
        <w:t>Economía.</w:t>
      </w:r>
    </w:p>
    <w:p w:rsidR="007876C9" w:rsidRPr="00177218" w:rsidRDefault="007876C9" w:rsidP="007876C9">
      <w:pPr>
        <w:pStyle w:val="Prrafodelist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De acuerdo a lo anterior, es necesario emitir tarifa para el aprovechamiento de las aguas, </w:t>
      </w:r>
      <w:r w:rsidR="00070CF0" w:rsidRPr="00177218">
        <w:rPr>
          <w:rFonts w:ascii="Calibri" w:hAnsi="Calibri"/>
          <w:sz w:val="22"/>
          <w:szCs w:val="22"/>
        </w:rPr>
        <w:t xml:space="preserve">presentado </w:t>
      </w:r>
      <w:r w:rsidR="00950799" w:rsidRPr="00177218">
        <w:rPr>
          <w:rFonts w:ascii="Calibri" w:hAnsi="Calibri"/>
          <w:sz w:val="22"/>
          <w:szCs w:val="22"/>
        </w:rPr>
        <w:t>a propuesta del Ministerio de Agricultura y Ganadería y el Ministerio de Economía.</w:t>
      </w:r>
    </w:p>
    <w:p w:rsidR="007876C9" w:rsidRPr="00177218" w:rsidRDefault="007876C9" w:rsidP="007876C9">
      <w:pPr>
        <w:jc w:val="both"/>
        <w:rPr>
          <w:rFonts w:asciiTheme="minorHAnsi" w:hAnsiTheme="minorHAns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b/>
          <w:sz w:val="22"/>
          <w:szCs w:val="22"/>
        </w:rPr>
      </w:pPr>
      <w:r w:rsidRPr="00177218">
        <w:rPr>
          <w:rFonts w:ascii="Calibri" w:hAnsi="Calibri"/>
          <w:b/>
          <w:sz w:val="22"/>
          <w:szCs w:val="22"/>
        </w:rPr>
        <w:t xml:space="preserve">POR TANTO: </w:t>
      </w:r>
    </w:p>
    <w:p w:rsidR="00070CF0" w:rsidRPr="00177218" w:rsidRDefault="00070CF0" w:rsidP="007876C9">
      <w:pPr>
        <w:jc w:val="both"/>
        <w:rPr>
          <w:rFonts w:ascii="Calibri" w:hAnsi="Calibri"/>
          <w:sz w:val="22"/>
          <w:szCs w:val="22"/>
        </w:rPr>
      </w:pPr>
    </w:p>
    <w:p w:rsidR="00070CF0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Con base a los considerandos anteriores, en uso de sus facultades</w:t>
      </w:r>
      <w:r w:rsidRPr="00177218">
        <w:rPr>
          <w:rFonts w:ascii="Arial Narrow" w:hAnsi="Arial Narrow"/>
        </w:rPr>
        <w:t xml:space="preserve"> </w:t>
      </w:r>
      <w:r w:rsidRPr="00177218">
        <w:rPr>
          <w:rFonts w:ascii="Calibri" w:hAnsi="Calibri"/>
          <w:sz w:val="22"/>
          <w:szCs w:val="22"/>
        </w:rPr>
        <w:t>constitucionales y legales y a iniciativa del Presidente de la República por medio del Minist</w:t>
      </w:r>
      <w:r w:rsidR="00FB69E4" w:rsidRPr="00177218">
        <w:rPr>
          <w:rFonts w:ascii="Calibri" w:hAnsi="Calibri"/>
          <w:sz w:val="22"/>
          <w:szCs w:val="22"/>
        </w:rPr>
        <w:t>e</w:t>
      </w:r>
      <w:r w:rsidRPr="00177218">
        <w:rPr>
          <w:rFonts w:ascii="Calibri" w:hAnsi="Calibri"/>
          <w:sz w:val="22"/>
          <w:szCs w:val="22"/>
        </w:rPr>
        <w:t>r</w:t>
      </w:r>
      <w:r w:rsidR="00FB69E4" w:rsidRPr="00177218">
        <w:rPr>
          <w:rFonts w:ascii="Calibri" w:hAnsi="Calibri"/>
          <w:sz w:val="22"/>
          <w:szCs w:val="22"/>
        </w:rPr>
        <w:t>i</w:t>
      </w:r>
      <w:r w:rsidRPr="00177218">
        <w:rPr>
          <w:rFonts w:ascii="Calibri" w:hAnsi="Calibri"/>
          <w:sz w:val="22"/>
          <w:szCs w:val="22"/>
        </w:rPr>
        <w:t>o de Agricultura y Ganadería</w:t>
      </w:r>
      <w:r w:rsidR="00950799" w:rsidRPr="00177218">
        <w:rPr>
          <w:rFonts w:ascii="Calibri" w:hAnsi="Calibri"/>
          <w:sz w:val="22"/>
          <w:szCs w:val="22"/>
        </w:rPr>
        <w:t xml:space="preserve"> y el Ministerio de Economía, </w:t>
      </w:r>
      <w:r w:rsidRPr="00177218">
        <w:rPr>
          <w:rFonts w:ascii="Calibri" w:hAnsi="Calibri"/>
          <w:sz w:val="22"/>
          <w:szCs w:val="22"/>
        </w:rPr>
        <w:t xml:space="preserve"> </w:t>
      </w:r>
    </w:p>
    <w:p w:rsidR="00070CF0" w:rsidRPr="00177218" w:rsidRDefault="00070CF0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b/>
          <w:sz w:val="22"/>
          <w:szCs w:val="22"/>
        </w:rPr>
        <w:t>DECRETA</w:t>
      </w:r>
      <w:r w:rsidRPr="00177218">
        <w:rPr>
          <w:rFonts w:ascii="Calibri" w:hAnsi="Calibri"/>
          <w:sz w:val="22"/>
          <w:szCs w:val="22"/>
        </w:rPr>
        <w:t xml:space="preserve"> la siguiente:</w:t>
      </w:r>
    </w:p>
    <w:p w:rsidR="00070CF0" w:rsidRPr="00177218" w:rsidRDefault="00070CF0" w:rsidP="007876C9">
      <w:pPr>
        <w:jc w:val="both"/>
        <w:rPr>
          <w:rFonts w:ascii="Calibri" w:hAnsi="Calibri"/>
          <w:b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b/>
          <w:sz w:val="22"/>
          <w:szCs w:val="22"/>
        </w:rPr>
      </w:pPr>
      <w:r w:rsidRPr="00177218">
        <w:rPr>
          <w:rFonts w:ascii="Calibri" w:hAnsi="Calibri"/>
          <w:b/>
          <w:sz w:val="22"/>
          <w:szCs w:val="22"/>
        </w:rPr>
        <w:t xml:space="preserve">TARIFA POR </w:t>
      </w:r>
      <w:r w:rsidR="00950799" w:rsidRPr="00177218">
        <w:rPr>
          <w:rFonts w:ascii="Calibri" w:hAnsi="Calibri"/>
          <w:b/>
          <w:sz w:val="22"/>
          <w:szCs w:val="22"/>
        </w:rPr>
        <w:t>EL DERECHO DE APROVECHAMIEN</w:t>
      </w:r>
      <w:r w:rsidR="00FB5CD9" w:rsidRPr="00177218">
        <w:rPr>
          <w:rFonts w:ascii="Calibri" w:hAnsi="Calibri"/>
          <w:b/>
          <w:sz w:val="22"/>
          <w:szCs w:val="22"/>
        </w:rPr>
        <w:t>T</w:t>
      </w:r>
      <w:r w:rsidR="00950799" w:rsidRPr="00177218">
        <w:rPr>
          <w:rFonts w:ascii="Calibri" w:hAnsi="Calibri"/>
          <w:b/>
          <w:sz w:val="22"/>
          <w:szCs w:val="22"/>
        </w:rPr>
        <w:t>O DE LAS AGUAS NACIONALES CON FINES DE RIEGO AGRICOLA.</w:t>
      </w:r>
    </w:p>
    <w:p w:rsidR="007876C9" w:rsidRPr="00177218" w:rsidRDefault="007876C9" w:rsidP="007876C9">
      <w:pPr>
        <w:jc w:val="both"/>
        <w:rPr>
          <w:rFonts w:ascii="Calibri" w:hAnsi="Calibri"/>
          <w:b/>
          <w:sz w:val="22"/>
          <w:szCs w:val="22"/>
          <w:lang w:val="es-ES"/>
        </w:rPr>
      </w:pP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Art. 1.- La presente tarifa </w:t>
      </w:r>
      <w:r w:rsidR="00950799" w:rsidRPr="00177218">
        <w:rPr>
          <w:rFonts w:ascii="Calibri" w:hAnsi="Calibri"/>
          <w:sz w:val="22"/>
          <w:szCs w:val="22"/>
        </w:rPr>
        <w:t>tiene por objeto establecer monto para el pago del derecho de aprovechamiento de las aguas nacion</w:t>
      </w:r>
      <w:r w:rsidR="004E4C61" w:rsidRPr="00177218">
        <w:rPr>
          <w:rFonts w:ascii="Calibri" w:hAnsi="Calibri"/>
          <w:sz w:val="22"/>
          <w:szCs w:val="22"/>
        </w:rPr>
        <w:t xml:space="preserve">ales </w:t>
      </w:r>
      <w:r w:rsidR="00864A20" w:rsidRPr="00177218">
        <w:rPr>
          <w:rFonts w:ascii="Calibri" w:hAnsi="Calibri"/>
          <w:sz w:val="22"/>
          <w:szCs w:val="22"/>
        </w:rPr>
        <w:t>con fines de riego agrícola, quedando su plazo de vigencia sujeto a la disponibilidad del caudal de la fuente de recursos hídricos, debido a las fluctuaciones ocasionadas por las condiciones hidrológicas y efect</w:t>
      </w:r>
      <w:r w:rsidR="004E4C61" w:rsidRPr="00177218">
        <w:rPr>
          <w:rFonts w:ascii="Calibri" w:hAnsi="Calibri"/>
          <w:sz w:val="22"/>
          <w:szCs w:val="22"/>
        </w:rPr>
        <w:t>os de la variabilidad climática.</w:t>
      </w:r>
      <w:r w:rsidR="00864A20" w:rsidRPr="00177218">
        <w:rPr>
          <w:rFonts w:ascii="Calibri" w:hAnsi="Calibri"/>
          <w:sz w:val="22"/>
          <w:szCs w:val="22"/>
        </w:rPr>
        <w:t xml:space="preserve"> </w:t>
      </w:r>
    </w:p>
    <w:p w:rsidR="00070CF0" w:rsidRPr="00177218" w:rsidRDefault="00070CF0" w:rsidP="007876C9">
      <w:pPr>
        <w:jc w:val="both"/>
        <w:rPr>
          <w:rFonts w:ascii="Calibri" w:hAnsi="Calibri"/>
          <w:sz w:val="22"/>
          <w:szCs w:val="22"/>
        </w:rPr>
      </w:pPr>
    </w:p>
    <w:p w:rsidR="00070CF0" w:rsidRPr="00177218" w:rsidRDefault="00070CF0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Las tarifas autorizadas regirán para los permisos provisionales de uso de agua con fines de riego, las cuales se refieren a un periodo no mayo</w:t>
      </w:r>
      <w:r w:rsidR="004E4C61" w:rsidRPr="00177218">
        <w:rPr>
          <w:rFonts w:ascii="Calibri" w:hAnsi="Calibri"/>
          <w:sz w:val="22"/>
          <w:szCs w:val="22"/>
        </w:rPr>
        <w:t>r al de cada estación de riego.</w:t>
      </w:r>
    </w:p>
    <w:p w:rsidR="007876C9" w:rsidRPr="00177218" w:rsidRDefault="0095079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lastRenderedPageBreak/>
        <w:t>Art. 2.- Los costos para la emisión del permiso de uso de agua con fines de riego</w:t>
      </w:r>
      <w:r w:rsidR="007876C9" w:rsidRPr="00177218">
        <w:rPr>
          <w:rFonts w:ascii="Calibri" w:hAnsi="Calibri"/>
          <w:sz w:val="22"/>
          <w:szCs w:val="22"/>
        </w:rPr>
        <w:t>, comprenden la atención de las actividades siguientes:</w:t>
      </w:r>
    </w:p>
    <w:p w:rsidR="007876C9" w:rsidRPr="00177218" w:rsidRDefault="007876C9" w:rsidP="007876C9">
      <w:pPr>
        <w:pStyle w:val="Prrafodelista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Gastos de administración, papelería, </w:t>
      </w:r>
      <w:r w:rsidR="00950799" w:rsidRPr="00177218">
        <w:rPr>
          <w:rFonts w:ascii="Calibri" w:hAnsi="Calibri"/>
          <w:sz w:val="22"/>
          <w:szCs w:val="22"/>
        </w:rPr>
        <w:t xml:space="preserve">fotocopias, </w:t>
      </w:r>
      <w:r w:rsidRPr="00177218">
        <w:rPr>
          <w:rFonts w:ascii="Calibri" w:hAnsi="Calibri"/>
          <w:sz w:val="22"/>
          <w:szCs w:val="22"/>
        </w:rPr>
        <w:t xml:space="preserve">impresiones, </w:t>
      </w:r>
      <w:r w:rsidR="0053394B" w:rsidRPr="00177218">
        <w:rPr>
          <w:rFonts w:ascii="Calibri" w:hAnsi="Calibri"/>
          <w:sz w:val="22"/>
          <w:szCs w:val="22"/>
        </w:rPr>
        <w:t xml:space="preserve">combustible, </w:t>
      </w:r>
      <w:r w:rsidR="00950799" w:rsidRPr="00177218">
        <w:rPr>
          <w:rFonts w:ascii="Calibri" w:hAnsi="Calibri"/>
          <w:sz w:val="22"/>
          <w:szCs w:val="22"/>
        </w:rPr>
        <w:t>notificaciones a ANDA, Alcaldías Municipales y al usuario de las aguas nacionales.</w:t>
      </w:r>
    </w:p>
    <w:p w:rsidR="007876C9" w:rsidRPr="00177218" w:rsidRDefault="00AA55DC" w:rsidP="00950799">
      <w:pPr>
        <w:pStyle w:val="Prrafodelista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Costos operativos para realizar </w:t>
      </w:r>
      <w:r w:rsidR="00950799" w:rsidRPr="00177218">
        <w:rPr>
          <w:rFonts w:ascii="Calibri" w:hAnsi="Calibri"/>
          <w:sz w:val="22"/>
          <w:szCs w:val="22"/>
        </w:rPr>
        <w:t xml:space="preserve">inspecciones a las fuentes o depósitos de aguas nacionales sean estas superficiales o subterráneas, </w:t>
      </w:r>
      <w:r w:rsidR="00FB5CD9" w:rsidRPr="00177218">
        <w:rPr>
          <w:rFonts w:ascii="Calibri" w:hAnsi="Calibri"/>
          <w:sz w:val="22"/>
          <w:szCs w:val="22"/>
        </w:rPr>
        <w:t xml:space="preserve">infraestructura de apoyo a la producción, </w:t>
      </w:r>
      <w:r w:rsidR="00950799" w:rsidRPr="00177218">
        <w:rPr>
          <w:rFonts w:ascii="Calibri" w:hAnsi="Calibri"/>
          <w:sz w:val="22"/>
          <w:szCs w:val="22"/>
        </w:rPr>
        <w:t>equipos de bombeo, pozos</w:t>
      </w:r>
      <w:r w:rsidR="00FB5CD9" w:rsidRPr="00177218">
        <w:rPr>
          <w:rFonts w:ascii="Calibri" w:hAnsi="Calibri"/>
          <w:sz w:val="22"/>
          <w:szCs w:val="22"/>
        </w:rPr>
        <w:t>, entre otros</w:t>
      </w:r>
      <w:r w:rsidR="007876C9" w:rsidRPr="00177218">
        <w:rPr>
          <w:rFonts w:ascii="Calibri" w:hAnsi="Calibri"/>
          <w:sz w:val="22"/>
          <w:szCs w:val="22"/>
        </w:rPr>
        <w:t>.</w:t>
      </w:r>
    </w:p>
    <w:p w:rsidR="007876C9" w:rsidRPr="00177218" w:rsidRDefault="00950799" w:rsidP="007876C9">
      <w:pPr>
        <w:pStyle w:val="Prrafodelista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Aforos a las fuentes de agua</w:t>
      </w:r>
      <w:r w:rsidR="00884290">
        <w:rPr>
          <w:rFonts w:ascii="Calibri" w:hAnsi="Calibri"/>
          <w:sz w:val="22"/>
          <w:szCs w:val="22"/>
        </w:rPr>
        <w:t xml:space="preserve"> y calendarios de riego</w:t>
      </w:r>
      <w:r w:rsidRPr="00177218">
        <w:rPr>
          <w:rFonts w:ascii="Calibri" w:hAnsi="Calibri"/>
          <w:sz w:val="22"/>
          <w:szCs w:val="22"/>
        </w:rPr>
        <w:t>.</w:t>
      </w:r>
    </w:p>
    <w:p w:rsidR="007876C9" w:rsidRPr="00177218" w:rsidRDefault="007876C9" w:rsidP="007876C9">
      <w:pPr>
        <w:pStyle w:val="Prrafodelista"/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bCs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Art. 3.- La tarif</w:t>
      </w:r>
      <w:r w:rsidR="00950799" w:rsidRPr="00177218">
        <w:rPr>
          <w:rFonts w:ascii="Calibri" w:hAnsi="Calibri"/>
          <w:sz w:val="22"/>
          <w:szCs w:val="22"/>
        </w:rPr>
        <w:t>a se cobrara a los solicitantes de uso de agua con fines de riego,</w:t>
      </w:r>
      <w:r w:rsidR="00C34CC5" w:rsidRPr="00177218">
        <w:rPr>
          <w:rFonts w:ascii="Calibri" w:hAnsi="Calibri"/>
          <w:sz w:val="22"/>
          <w:szCs w:val="22"/>
        </w:rPr>
        <w:t xml:space="preserve"> de acuerdo a la superficie bajo riego empadronada, medida en </w:t>
      </w:r>
      <w:r w:rsidR="00950799" w:rsidRPr="00177218">
        <w:rPr>
          <w:rFonts w:ascii="Calibri" w:hAnsi="Calibri"/>
          <w:sz w:val="22"/>
          <w:szCs w:val="22"/>
        </w:rPr>
        <w:t xml:space="preserve"> </w:t>
      </w:r>
      <w:r w:rsidRPr="00177218">
        <w:rPr>
          <w:rFonts w:ascii="Calibri" w:hAnsi="Calibri"/>
          <w:sz w:val="22"/>
          <w:szCs w:val="22"/>
        </w:rPr>
        <w:t>hectárea o fracción</w:t>
      </w:r>
      <w:r w:rsidR="00C34CC5" w:rsidRPr="00177218">
        <w:rPr>
          <w:rFonts w:ascii="Calibri" w:hAnsi="Calibri"/>
          <w:sz w:val="22"/>
          <w:szCs w:val="22"/>
        </w:rPr>
        <w:t>/manzana agrícola o fracción</w:t>
      </w:r>
      <w:r w:rsidRPr="00177218">
        <w:rPr>
          <w:rFonts w:ascii="Calibri" w:hAnsi="Calibri"/>
          <w:sz w:val="22"/>
          <w:szCs w:val="22"/>
        </w:rPr>
        <w:t>, en forma anual,</w:t>
      </w:r>
      <w:r w:rsidR="00732B4D" w:rsidRPr="00177218">
        <w:rPr>
          <w:rFonts w:ascii="Calibri" w:hAnsi="Calibri"/>
          <w:sz w:val="22"/>
          <w:szCs w:val="22"/>
        </w:rPr>
        <w:t xml:space="preserve"> </w:t>
      </w:r>
      <w:r w:rsidR="00C34CC5" w:rsidRPr="00177218">
        <w:rPr>
          <w:rFonts w:ascii="Calibri" w:hAnsi="Calibri"/>
          <w:sz w:val="22"/>
          <w:szCs w:val="22"/>
        </w:rPr>
        <w:t xml:space="preserve">debiendo realizar el trámite del permiso dentro del plazo </w:t>
      </w:r>
      <w:r w:rsidR="00732B4D" w:rsidRPr="00177218">
        <w:rPr>
          <w:rFonts w:ascii="Calibri" w:hAnsi="Calibri"/>
          <w:sz w:val="22"/>
          <w:szCs w:val="22"/>
        </w:rPr>
        <w:t>efectivo</w:t>
      </w:r>
      <w:r w:rsidR="00950799" w:rsidRPr="00177218">
        <w:rPr>
          <w:rFonts w:ascii="Calibri" w:hAnsi="Calibri"/>
          <w:sz w:val="22"/>
          <w:szCs w:val="22"/>
        </w:rPr>
        <w:t xml:space="preserve"> desde el primer día hábil de enero hasta el último día hábil de agosto, </w:t>
      </w:r>
      <w:r w:rsidRPr="00177218">
        <w:rPr>
          <w:rFonts w:ascii="Calibri" w:hAnsi="Calibri"/>
          <w:sz w:val="22"/>
          <w:szCs w:val="22"/>
        </w:rPr>
        <w:t xml:space="preserve">de conformidad al registro general de usuarios respectivos, pertenezcan o </w:t>
      </w:r>
      <w:r w:rsidR="00732B4D" w:rsidRPr="00177218">
        <w:rPr>
          <w:rFonts w:ascii="Calibri" w:hAnsi="Calibri"/>
          <w:sz w:val="22"/>
          <w:szCs w:val="22"/>
        </w:rPr>
        <w:t xml:space="preserve">no a una </w:t>
      </w:r>
      <w:r w:rsidRPr="00177218">
        <w:rPr>
          <w:rFonts w:ascii="Calibri" w:hAnsi="Calibri"/>
          <w:bCs/>
          <w:sz w:val="22"/>
          <w:szCs w:val="22"/>
        </w:rPr>
        <w:t xml:space="preserve">Asociación de Regantes </w:t>
      </w:r>
      <w:r w:rsidR="00950799" w:rsidRPr="00177218">
        <w:rPr>
          <w:rFonts w:ascii="Calibri" w:hAnsi="Calibri"/>
          <w:bCs/>
          <w:sz w:val="22"/>
          <w:szCs w:val="22"/>
        </w:rPr>
        <w:t>a nivel nacional</w:t>
      </w:r>
      <w:r w:rsidRPr="00177218">
        <w:rPr>
          <w:rFonts w:ascii="Calibri" w:hAnsi="Calibri"/>
          <w:bCs/>
          <w:sz w:val="22"/>
          <w:szCs w:val="22"/>
        </w:rPr>
        <w:t>.</w:t>
      </w:r>
    </w:p>
    <w:p w:rsidR="00FB5CD9" w:rsidRPr="00177218" w:rsidRDefault="00FB5CD9" w:rsidP="007876C9">
      <w:pPr>
        <w:jc w:val="both"/>
        <w:rPr>
          <w:rFonts w:ascii="Calibri" w:hAnsi="Calibri"/>
          <w:bCs/>
          <w:sz w:val="22"/>
          <w:szCs w:val="22"/>
        </w:rPr>
      </w:pPr>
    </w:p>
    <w:p w:rsidR="00FB5CD9" w:rsidRPr="00177218" w:rsidRDefault="00FB5CD9" w:rsidP="007876C9">
      <w:pPr>
        <w:jc w:val="both"/>
        <w:rPr>
          <w:rFonts w:ascii="Calibri" w:hAnsi="Calibri"/>
          <w:bCs/>
          <w:sz w:val="22"/>
          <w:szCs w:val="22"/>
        </w:rPr>
      </w:pPr>
      <w:r w:rsidRPr="00177218">
        <w:rPr>
          <w:rFonts w:ascii="Calibri" w:hAnsi="Calibri"/>
          <w:bCs/>
          <w:sz w:val="22"/>
          <w:szCs w:val="22"/>
        </w:rPr>
        <w:t>De presentarse la solicitud fuera del período de recepción de solicitudes, el usuario de riego deberá cancelar un recargo, por la presentación extemporánea.</w:t>
      </w:r>
    </w:p>
    <w:p w:rsidR="007876C9" w:rsidRPr="00177218" w:rsidRDefault="007876C9" w:rsidP="007876C9">
      <w:pPr>
        <w:jc w:val="both"/>
        <w:rPr>
          <w:rFonts w:ascii="Calibri" w:hAnsi="Calibri"/>
          <w:bCs/>
          <w:sz w:val="22"/>
          <w:szCs w:val="22"/>
        </w:rPr>
      </w:pPr>
    </w:p>
    <w:p w:rsidR="007876C9" w:rsidRPr="00177218" w:rsidRDefault="007876C9" w:rsidP="007876C9">
      <w:pPr>
        <w:pStyle w:val="Default"/>
        <w:jc w:val="both"/>
        <w:rPr>
          <w:rFonts w:eastAsia="Times New Roman" w:cs="Times New Roman"/>
          <w:bCs/>
          <w:color w:val="auto"/>
          <w:sz w:val="22"/>
          <w:szCs w:val="22"/>
          <w:lang w:eastAsia="es-ES"/>
        </w:rPr>
      </w:pPr>
      <w:r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>Para los efectos del cobro y de la s</w:t>
      </w:r>
      <w:r w:rsidR="00950799"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 xml:space="preserve">eguridad de la </w:t>
      </w:r>
      <w:r w:rsidR="00C34CC5"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 xml:space="preserve">recepción </w:t>
      </w:r>
      <w:r w:rsidR="00950799"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>de la</w:t>
      </w:r>
      <w:r w:rsidR="00D73D00"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>s</w:t>
      </w:r>
      <w:r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 xml:space="preserve"> tarifas, los correspondientes propietarios o poseedores de los terrenos beneficiados estarán obligados a comunicar al Ministerio de Agricultura y Ganadería toda división, venta, permuta y </w:t>
      </w:r>
      <w:proofErr w:type="gramStart"/>
      <w:r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>cualesquiera</w:t>
      </w:r>
      <w:proofErr w:type="gramEnd"/>
      <w:r w:rsidRPr="00177218">
        <w:rPr>
          <w:rFonts w:eastAsia="Times New Roman" w:cs="Times New Roman"/>
          <w:bCs/>
          <w:color w:val="auto"/>
          <w:sz w:val="22"/>
          <w:szCs w:val="22"/>
          <w:lang w:eastAsia="es-ES"/>
        </w:rPr>
        <w:t xml:space="preserve"> otro acto jurídico traslaticio de dominio de los expresados terrenos. </w:t>
      </w:r>
    </w:p>
    <w:p w:rsidR="007876C9" w:rsidRPr="00177218" w:rsidRDefault="007876C9" w:rsidP="007876C9">
      <w:pPr>
        <w:pStyle w:val="Default"/>
        <w:jc w:val="both"/>
        <w:rPr>
          <w:rFonts w:eastAsia="Times New Roman" w:cs="Times New Roman"/>
          <w:bCs/>
          <w:color w:val="auto"/>
          <w:sz w:val="22"/>
          <w:szCs w:val="22"/>
          <w:lang w:eastAsia="es-ES"/>
        </w:rPr>
      </w:pPr>
    </w:p>
    <w:p w:rsidR="007876C9" w:rsidRPr="00177218" w:rsidRDefault="007876C9" w:rsidP="007876C9">
      <w:pPr>
        <w:jc w:val="both"/>
        <w:rPr>
          <w:rFonts w:ascii="Calibri" w:hAnsi="Calibri"/>
          <w:bCs/>
          <w:sz w:val="22"/>
          <w:szCs w:val="22"/>
        </w:rPr>
      </w:pPr>
      <w:r w:rsidRPr="00177218">
        <w:rPr>
          <w:rFonts w:ascii="Calibri" w:hAnsi="Calibri"/>
          <w:bCs/>
          <w:sz w:val="22"/>
          <w:szCs w:val="22"/>
        </w:rPr>
        <w:t>En caso de que no se haga la comunicación a que se refiere el inciso anterior, el cobro podrá hacerse al dueño que apareciere en los Registros respectivos, teniendo éste el derecho de repetir contra el verdadero propietario.</w:t>
      </w:r>
    </w:p>
    <w:p w:rsidR="007876C9" w:rsidRPr="00177218" w:rsidRDefault="007876C9" w:rsidP="007876C9">
      <w:pPr>
        <w:jc w:val="both"/>
        <w:rPr>
          <w:rFonts w:ascii="Calibri" w:hAnsi="Calibri"/>
          <w:bCs/>
          <w:sz w:val="22"/>
          <w:szCs w:val="22"/>
        </w:rPr>
      </w:pPr>
    </w:p>
    <w:p w:rsidR="00950799" w:rsidRPr="00177218" w:rsidRDefault="007876C9" w:rsidP="007876C9">
      <w:pPr>
        <w:jc w:val="both"/>
        <w:rPr>
          <w:rFonts w:ascii="Calibri" w:hAnsi="Calibri"/>
          <w:bCs/>
          <w:sz w:val="22"/>
          <w:szCs w:val="22"/>
        </w:rPr>
      </w:pPr>
      <w:r w:rsidRPr="00177218">
        <w:rPr>
          <w:rFonts w:ascii="Calibri" w:hAnsi="Calibri"/>
          <w:bCs/>
          <w:sz w:val="22"/>
          <w:szCs w:val="22"/>
        </w:rPr>
        <w:t xml:space="preserve">Art. 4.- El monto de los cánones a que se refiere esta tarifa </w:t>
      </w:r>
      <w:r w:rsidR="00950799" w:rsidRPr="00177218">
        <w:rPr>
          <w:rFonts w:ascii="Calibri" w:hAnsi="Calibri"/>
          <w:bCs/>
          <w:sz w:val="22"/>
          <w:szCs w:val="22"/>
        </w:rPr>
        <w:t>es de conformidad al detalle por superficie siguiente:</w:t>
      </w:r>
    </w:p>
    <w:p w:rsidR="00732B4D" w:rsidRPr="00177218" w:rsidRDefault="00732B4D" w:rsidP="007876C9">
      <w:pPr>
        <w:jc w:val="both"/>
        <w:rPr>
          <w:rFonts w:ascii="Calibri" w:hAnsi="Calibri"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7"/>
        <w:gridCol w:w="2932"/>
        <w:gridCol w:w="3118"/>
        <w:gridCol w:w="2552"/>
      </w:tblGrid>
      <w:tr w:rsidR="00177218" w:rsidRPr="00177218" w:rsidTr="00732B4D">
        <w:trPr>
          <w:trHeight w:val="324"/>
        </w:trPr>
        <w:tc>
          <w:tcPr>
            <w:tcW w:w="9039" w:type="dxa"/>
            <w:gridSpan w:val="4"/>
            <w:noWrap/>
            <w:hideMark/>
          </w:tcPr>
          <w:p w:rsidR="00732B4D" w:rsidRPr="00177218" w:rsidRDefault="00070CF0" w:rsidP="00FB5CD9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PERMISO DE USO DE AGUA CON FI</w:t>
            </w:r>
            <w:r w:rsidR="00FB5CD9" w:rsidRPr="00177218">
              <w:rPr>
                <w:rFonts w:ascii="Calibri" w:hAnsi="Calibri"/>
                <w:b/>
                <w:bCs/>
                <w:sz w:val="22"/>
                <w:szCs w:val="22"/>
              </w:rPr>
              <w:t>NES DE RIEGO</w:t>
            </w:r>
          </w:p>
        </w:tc>
      </w:tr>
      <w:tr w:rsidR="00177218" w:rsidRPr="00177218" w:rsidTr="00732B4D">
        <w:trPr>
          <w:trHeight w:val="275"/>
        </w:trPr>
        <w:tc>
          <w:tcPr>
            <w:tcW w:w="437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6050" w:type="dxa"/>
            <w:gridSpan w:val="2"/>
            <w:hideMark/>
          </w:tcPr>
          <w:p w:rsidR="00732B4D" w:rsidRPr="00177218" w:rsidRDefault="00070CF0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TRAMITE</w:t>
            </w:r>
          </w:p>
        </w:tc>
        <w:tc>
          <w:tcPr>
            <w:tcW w:w="2552" w:type="dxa"/>
            <w:hideMark/>
          </w:tcPr>
          <w:p w:rsidR="00732B4D" w:rsidRPr="00177218" w:rsidRDefault="00070CF0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TARIFA</w:t>
            </w:r>
            <w:r w:rsidR="00732B4D" w:rsidRPr="00177218">
              <w:rPr>
                <w:rFonts w:ascii="Calibri" w:hAnsi="Calibri"/>
                <w:b/>
                <w:bCs/>
                <w:sz w:val="22"/>
                <w:szCs w:val="22"/>
              </w:rPr>
              <w:t xml:space="preserve"> (US$)</w:t>
            </w:r>
          </w:p>
        </w:tc>
      </w:tr>
      <w:tr w:rsidR="00177218" w:rsidRPr="00177218" w:rsidTr="004E4C61">
        <w:trPr>
          <w:trHeight w:val="272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02" w:type="dxa"/>
            <w:gridSpan w:val="3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 xml:space="preserve">Trámite de Permiso Provisional de </w:t>
            </w:r>
            <w:r w:rsidR="00070CF0" w:rsidRPr="00177218">
              <w:rPr>
                <w:rFonts w:ascii="Calibri" w:hAnsi="Calibri"/>
                <w:b/>
                <w:bCs/>
                <w:sz w:val="22"/>
                <w:szCs w:val="22"/>
              </w:rPr>
              <w:t>uso de agua con fines de r</w:t>
            </w: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 xml:space="preserve">iego por Temporada de Riego </w:t>
            </w:r>
          </w:p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</w:tr>
      <w:tr w:rsidR="00177218" w:rsidRPr="00177218" w:rsidTr="00732B4D">
        <w:trPr>
          <w:trHeight w:val="435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HECTÁREA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MANZANA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0.07    A    0.7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  0.1    A    1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50.00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1         A    3.50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1.43    A    5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60.00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3.50    A    7.00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 5.05   A   10.01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100.00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7.00    A    10.50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10.01  A   15.01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150.00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10.50  A    17.50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15.01  A   25.03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250.00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17.50  A    140.00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 25.03  A   200.34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500.00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140.00  A  420.00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DE 200.34  A  601.02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1,000.00</w:t>
            </w:r>
          </w:p>
        </w:tc>
      </w:tr>
      <w:tr w:rsidR="00177218" w:rsidRPr="00177218" w:rsidTr="00732B4D">
        <w:trPr>
          <w:trHeight w:val="570"/>
        </w:trPr>
        <w:tc>
          <w:tcPr>
            <w:tcW w:w="437" w:type="dxa"/>
            <w:noWrap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 </w:t>
            </w:r>
          </w:p>
        </w:tc>
        <w:tc>
          <w:tcPr>
            <w:tcW w:w="2932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MAYOR  A   420.00</w:t>
            </w:r>
          </w:p>
        </w:tc>
        <w:tc>
          <w:tcPr>
            <w:tcW w:w="3118" w:type="dxa"/>
            <w:hideMark/>
          </w:tcPr>
          <w:p w:rsidR="00732B4D" w:rsidRPr="00177218" w:rsidRDefault="00732B4D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MAYOR  DE  601.02</w:t>
            </w:r>
          </w:p>
        </w:tc>
        <w:tc>
          <w:tcPr>
            <w:tcW w:w="2552" w:type="dxa"/>
            <w:noWrap/>
            <w:hideMark/>
          </w:tcPr>
          <w:p w:rsidR="00732B4D" w:rsidRPr="00177218" w:rsidRDefault="00732B4D" w:rsidP="00C34CC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1,500.00</w:t>
            </w:r>
          </w:p>
        </w:tc>
      </w:tr>
      <w:tr w:rsidR="00177218" w:rsidRPr="00177218" w:rsidTr="00605844">
        <w:trPr>
          <w:trHeight w:val="570"/>
        </w:trPr>
        <w:tc>
          <w:tcPr>
            <w:tcW w:w="437" w:type="dxa"/>
            <w:noWrap/>
          </w:tcPr>
          <w:p w:rsidR="00070CF0" w:rsidRPr="00177218" w:rsidRDefault="00070CF0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:rsidR="00070CF0" w:rsidRPr="00177218" w:rsidRDefault="004E4C61" w:rsidP="00732B4D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2</w:t>
            </w:r>
            <w:r w:rsidR="00070CF0" w:rsidRPr="00177218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6050" w:type="dxa"/>
            <w:gridSpan w:val="2"/>
          </w:tcPr>
          <w:p w:rsidR="00070CF0" w:rsidRPr="00177218" w:rsidRDefault="00070CF0" w:rsidP="00070CF0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/>
                <w:bCs/>
                <w:sz w:val="22"/>
                <w:szCs w:val="22"/>
              </w:rPr>
              <w:t>Recargo por presentación extemporánea de solicitud de permiso de uso de agua con fines de riego</w:t>
            </w:r>
          </w:p>
        </w:tc>
        <w:tc>
          <w:tcPr>
            <w:tcW w:w="2552" w:type="dxa"/>
            <w:noWrap/>
          </w:tcPr>
          <w:p w:rsidR="00070CF0" w:rsidRPr="00177218" w:rsidRDefault="00070CF0" w:rsidP="00D73D00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77218">
              <w:rPr>
                <w:rFonts w:ascii="Calibri" w:hAnsi="Calibri"/>
                <w:bCs/>
                <w:sz w:val="22"/>
                <w:szCs w:val="22"/>
              </w:rPr>
              <w:t>50.00</w:t>
            </w:r>
          </w:p>
        </w:tc>
      </w:tr>
    </w:tbl>
    <w:p w:rsidR="00950799" w:rsidRPr="00177218" w:rsidRDefault="00950799" w:rsidP="007876C9">
      <w:pPr>
        <w:jc w:val="both"/>
        <w:rPr>
          <w:rFonts w:ascii="Calibri" w:hAnsi="Calibri"/>
          <w:bCs/>
          <w:sz w:val="22"/>
          <w:szCs w:val="22"/>
        </w:rPr>
      </w:pPr>
    </w:p>
    <w:p w:rsidR="007876C9" w:rsidRPr="00177218" w:rsidRDefault="004E4C61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Art. 5.</w:t>
      </w:r>
      <w:r w:rsidR="007876C9" w:rsidRPr="00177218">
        <w:rPr>
          <w:rFonts w:ascii="Calibri" w:hAnsi="Calibri"/>
          <w:sz w:val="22"/>
          <w:szCs w:val="22"/>
        </w:rPr>
        <w:t xml:space="preserve"> </w:t>
      </w:r>
      <w:r w:rsidR="00D73D00" w:rsidRPr="00177218">
        <w:rPr>
          <w:rFonts w:ascii="Calibri" w:hAnsi="Calibri"/>
          <w:sz w:val="22"/>
          <w:szCs w:val="22"/>
        </w:rPr>
        <w:t xml:space="preserve">Las tarifas </w:t>
      </w:r>
      <w:r w:rsidR="007876C9" w:rsidRPr="00177218">
        <w:rPr>
          <w:rFonts w:ascii="Calibri" w:hAnsi="Calibri"/>
          <w:sz w:val="22"/>
          <w:szCs w:val="22"/>
        </w:rPr>
        <w:t xml:space="preserve">podrán ser cancelados totalmente </w:t>
      </w:r>
      <w:r w:rsidR="00732B4D" w:rsidRPr="00177218">
        <w:rPr>
          <w:rFonts w:ascii="Calibri" w:hAnsi="Calibri"/>
          <w:sz w:val="22"/>
          <w:szCs w:val="22"/>
        </w:rPr>
        <w:t xml:space="preserve">previo </w:t>
      </w:r>
      <w:r w:rsidR="007876C9" w:rsidRPr="00177218">
        <w:rPr>
          <w:rFonts w:ascii="Calibri" w:hAnsi="Calibri"/>
          <w:sz w:val="22"/>
          <w:szCs w:val="22"/>
        </w:rPr>
        <w:t>al inicio de la operación de riego.</w:t>
      </w:r>
      <w:r w:rsidR="00070CF0" w:rsidRPr="00177218">
        <w:rPr>
          <w:rFonts w:ascii="Calibri" w:hAnsi="Calibri"/>
          <w:sz w:val="22"/>
          <w:szCs w:val="22"/>
        </w:rPr>
        <w:t xml:space="preserve"> S</w:t>
      </w:r>
      <w:r w:rsidR="007876C9" w:rsidRPr="00177218">
        <w:rPr>
          <w:rFonts w:ascii="Calibri" w:hAnsi="Calibri"/>
          <w:sz w:val="22"/>
          <w:szCs w:val="22"/>
        </w:rPr>
        <w:t xml:space="preserve">e extenderá el recibo correspondiente por el  Colector habilitado </w:t>
      </w:r>
      <w:r w:rsidR="00732B4D" w:rsidRPr="00177218">
        <w:rPr>
          <w:rFonts w:ascii="Calibri" w:hAnsi="Calibri"/>
          <w:sz w:val="22"/>
          <w:szCs w:val="22"/>
        </w:rPr>
        <w:t>de la Dirección General de Ordenamiento Forestal Cuencas y Riego</w:t>
      </w:r>
      <w:r w:rsidR="007876C9" w:rsidRPr="00177218">
        <w:rPr>
          <w:rFonts w:ascii="Calibri" w:hAnsi="Calibri"/>
          <w:sz w:val="22"/>
          <w:szCs w:val="22"/>
        </w:rPr>
        <w:t xml:space="preserve">, </w:t>
      </w:r>
      <w:r w:rsidR="00732B4D" w:rsidRPr="00177218">
        <w:rPr>
          <w:rFonts w:ascii="Calibri" w:hAnsi="Calibri"/>
          <w:sz w:val="22"/>
          <w:szCs w:val="22"/>
        </w:rPr>
        <w:t xml:space="preserve">del Ministerio de Agricultura y Ganadería </w:t>
      </w:r>
      <w:r w:rsidR="007876C9" w:rsidRPr="00177218">
        <w:rPr>
          <w:rFonts w:ascii="Calibri" w:hAnsi="Calibri"/>
          <w:sz w:val="22"/>
          <w:szCs w:val="22"/>
        </w:rPr>
        <w:t>e ingresará el monto al Fondo de Actividades Especiales de</w:t>
      </w:r>
      <w:r w:rsidR="00732B4D" w:rsidRPr="00177218">
        <w:rPr>
          <w:rFonts w:ascii="Calibri" w:hAnsi="Calibri"/>
          <w:sz w:val="22"/>
          <w:szCs w:val="22"/>
        </w:rPr>
        <w:t xml:space="preserve"> dicha Dirección</w:t>
      </w:r>
      <w:r w:rsidR="007876C9" w:rsidRPr="00177218">
        <w:rPr>
          <w:rFonts w:ascii="Calibri" w:hAnsi="Calibri"/>
          <w:sz w:val="22"/>
          <w:szCs w:val="22"/>
        </w:rPr>
        <w:t>.</w:t>
      </w: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 Art. 6.- </w:t>
      </w:r>
      <w:r w:rsidR="00732B4D" w:rsidRPr="00177218">
        <w:rPr>
          <w:rFonts w:ascii="Calibri" w:hAnsi="Calibri"/>
          <w:sz w:val="22"/>
          <w:szCs w:val="22"/>
        </w:rPr>
        <w:t>En c</w:t>
      </w:r>
      <w:r w:rsidRPr="00177218">
        <w:rPr>
          <w:rFonts w:ascii="Calibri" w:hAnsi="Calibri"/>
          <w:sz w:val="22"/>
          <w:szCs w:val="22"/>
        </w:rPr>
        <w:t xml:space="preserve">aso de incumplimiento en el pago de </w:t>
      </w:r>
      <w:r w:rsidR="00D73D00" w:rsidRPr="00177218">
        <w:rPr>
          <w:rFonts w:ascii="Calibri" w:hAnsi="Calibri"/>
          <w:sz w:val="22"/>
          <w:szCs w:val="22"/>
        </w:rPr>
        <w:t xml:space="preserve">las tarifas </w:t>
      </w:r>
      <w:r w:rsidRPr="00177218">
        <w:rPr>
          <w:rFonts w:ascii="Calibri" w:hAnsi="Calibri"/>
          <w:sz w:val="22"/>
          <w:szCs w:val="22"/>
        </w:rPr>
        <w:t xml:space="preserve">establecidos en </w:t>
      </w:r>
      <w:r w:rsidR="00D73D00" w:rsidRPr="00177218">
        <w:rPr>
          <w:rFonts w:ascii="Calibri" w:hAnsi="Calibri"/>
          <w:sz w:val="22"/>
          <w:szCs w:val="22"/>
        </w:rPr>
        <w:t>este decreto</w:t>
      </w:r>
      <w:r w:rsidRPr="00177218">
        <w:rPr>
          <w:rFonts w:ascii="Calibri" w:hAnsi="Calibri"/>
          <w:sz w:val="22"/>
          <w:szCs w:val="22"/>
        </w:rPr>
        <w:t xml:space="preserve">, se suspenderá el suministro de agua </w:t>
      </w:r>
      <w:r w:rsidR="00D73D00" w:rsidRPr="00177218">
        <w:rPr>
          <w:rFonts w:ascii="Calibri" w:hAnsi="Calibri"/>
          <w:sz w:val="22"/>
          <w:szCs w:val="22"/>
        </w:rPr>
        <w:t xml:space="preserve">al infractor </w:t>
      </w:r>
      <w:r w:rsidRPr="00177218">
        <w:rPr>
          <w:rFonts w:ascii="Calibri" w:hAnsi="Calibri"/>
          <w:sz w:val="22"/>
          <w:szCs w:val="22"/>
        </w:rPr>
        <w:t xml:space="preserve">de conformidad a lo establecido por el artículo 95 de la Ley de Riego y Avenamiento, sin perjuicio del cobro por la vía ejecutiva de las cantidades adeudadas por tal concepto, con base en lo establecido por el artículo 52 de la mencionada ley. </w:t>
      </w: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 Las certificaciones que extienda el Ministerio de Agricultura y Ganadería por concepto de tarifas que se adeuden tendrán fuerza ejecutiva.</w:t>
      </w: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32B4D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 xml:space="preserve">Art. 7.- </w:t>
      </w:r>
      <w:r w:rsidR="007876C9" w:rsidRPr="00177218">
        <w:rPr>
          <w:rFonts w:ascii="Calibri" w:hAnsi="Calibri"/>
          <w:sz w:val="22"/>
          <w:szCs w:val="22"/>
        </w:rPr>
        <w:t xml:space="preserve">Si el usuario no pagare totalmente </w:t>
      </w:r>
      <w:r w:rsidR="00D73D00" w:rsidRPr="00177218">
        <w:rPr>
          <w:rFonts w:ascii="Calibri" w:hAnsi="Calibri"/>
          <w:sz w:val="22"/>
          <w:szCs w:val="22"/>
        </w:rPr>
        <w:t xml:space="preserve">la tarifa </w:t>
      </w:r>
      <w:r w:rsidR="007876C9" w:rsidRPr="00177218">
        <w:rPr>
          <w:rFonts w:ascii="Calibri" w:hAnsi="Calibri"/>
          <w:sz w:val="22"/>
          <w:szCs w:val="22"/>
        </w:rPr>
        <w:t>al inicio de la operación del riego, no tendrá derecho al uso de las aguas.</w:t>
      </w: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FB5CD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Calibri" w:hAnsi="Calibri"/>
          <w:sz w:val="22"/>
          <w:szCs w:val="22"/>
        </w:rPr>
        <w:t>Art. 8.-  La presente tarifa entrara en vigencia ocho días después de su publicación en el Diario Oficial.</w:t>
      </w:r>
    </w:p>
    <w:p w:rsidR="00FB5CD9" w:rsidRPr="00177218" w:rsidRDefault="00FB5CD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  <w:r w:rsidRPr="00177218">
        <w:rPr>
          <w:rFonts w:ascii="Tahoma" w:hAnsi="Tahoma" w:cs="Tahoma"/>
          <w:sz w:val="20"/>
          <w:szCs w:val="20"/>
          <w:lang w:eastAsia="es-SV"/>
        </w:rPr>
        <w:t>DADO EN EL SALÓN AZUL DEL PALACIO LEGISLATIVO: San Salvador, a los</w:t>
      </w:r>
      <w:r w:rsidRPr="00177218">
        <w:rPr>
          <w:rFonts w:ascii="Calibri" w:hAnsi="Calibri"/>
          <w:sz w:val="22"/>
          <w:szCs w:val="22"/>
        </w:rPr>
        <w:t xml:space="preserve">_____ días del mes de ____ </w:t>
      </w:r>
      <w:proofErr w:type="spellStart"/>
      <w:r w:rsidRPr="00177218">
        <w:rPr>
          <w:rFonts w:ascii="Calibri" w:hAnsi="Calibri"/>
          <w:sz w:val="22"/>
          <w:szCs w:val="22"/>
        </w:rPr>
        <w:t>de</w:t>
      </w:r>
      <w:proofErr w:type="spellEnd"/>
      <w:r w:rsidRPr="00177218">
        <w:rPr>
          <w:rFonts w:ascii="Calibri" w:hAnsi="Calibri"/>
          <w:sz w:val="22"/>
          <w:szCs w:val="22"/>
        </w:rPr>
        <w:t xml:space="preserve"> dos mil _______.</w:t>
      </w:r>
    </w:p>
    <w:p w:rsidR="007876C9" w:rsidRPr="00177218" w:rsidRDefault="007876C9" w:rsidP="007876C9">
      <w:pPr>
        <w:jc w:val="both"/>
        <w:rPr>
          <w:rFonts w:ascii="Calibri" w:hAnsi="Calibri"/>
          <w:sz w:val="22"/>
          <w:szCs w:val="22"/>
        </w:rPr>
      </w:pPr>
    </w:p>
    <w:p w:rsidR="007876C9" w:rsidRPr="00177218" w:rsidRDefault="007876C9" w:rsidP="007876C9"/>
    <w:p w:rsidR="00F15908" w:rsidRPr="00177218" w:rsidRDefault="00F15908"/>
    <w:p w:rsidR="00177218" w:rsidRPr="00177218" w:rsidRDefault="00177218"/>
    <w:sectPr w:rsidR="00177218" w:rsidRPr="001772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446"/>
    <w:multiLevelType w:val="hybridMultilevel"/>
    <w:tmpl w:val="F7B8F672"/>
    <w:lvl w:ilvl="0" w:tplc="440A0013">
      <w:start w:val="1"/>
      <w:numFmt w:val="upperRoman"/>
      <w:lvlText w:val="%1."/>
      <w:lvlJc w:val="righ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30AB5"/>
    <w:multiLevelType w:val="hybridMultilevel"/>
    <w:tmpl w:val="AC7804CE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C9"/>
    <w:rsid w:val="00070CF0"/>
    <w:rsid w:val="000F63CC"/>
    <w:rsid w:val="00177218"/>
    <w:rsid w:val="0037220B"/>
    <w:rsid w:val="004E4C61"/>
    <w:rsid w:val="0053394B"/>
    <w:rsid w:val="00701FAB"/>
    <w:rsid w:val="00732B4D"/>
    <w:rsid w:val="007876C9"/>
    <w:rsid w:val="00864A20"/>
    <w:rsid w:val="00884290"/>
    <w:rsid w:val="00950799"/>
    <w:rsid w:val="00AA55DC"/>
    <w:rsid w:val="00C240C4"/>
    <w:rsid w:val="00C34CC5"/>
    <w:rsid w:val="00D73D00"/>
    <w:rsid w:val="00F15908"/>
    <w:rsid w:val="00FB5CD9"/>
    <w:rsid w:val="00FB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76C9"/>
    <w:pPr>
      <w:ind w:left="720"/>
      <w:contextualSpacing/>
    </w:pPr>
  </w:style>
  <w:style w:type="paragraph" w:customStyle="1" w:styleId="Default">
    <w:name w:val="Default"/>
    <w:rsid w:val="00787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73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C34C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34C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34CC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4C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4CC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4C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CC5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uiPriority w:val="1"/>
    <w:qFormat/>
    <w:rsid w:val="003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76C9"/>
    <w:pPr>
      <w:ind w:left="720"/>
      <w:contextualSpacing/>
    </w:pPr>
  </w:style>
  <w:style w:type="paragraph" w:customStyle="1" w:styleId="Default">
    <w:name w:val="Default"/>
    <w:rsid w:val="00787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73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C34C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34C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34CC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4C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4CC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4C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CC5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uiPriority w:val="1"/>
    <w:qFormat/>
    <w:rsid w:val="003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F7273-87FA-4871-905F-228B87BC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Nerea.Espinoza</dc:creator>
  <cp:lastModifiedBy>Jorge Humberto Lopez Lopez</cp:lastModifiedBy>
  <cp:revision>2</cp:revision>
  <cp:lastPrinted>2020-10-30T13:51:00Z</cp:lastPrinted>
  <dcterms:created xsi:type="dcterms:W3CDTF">2022-07-12T15:34:00Z</dcterms:created>
  <dcterms:modified xsi:type="dcterms:W3CDTF">2022-07-12T15:34:00Z</dcterms:modified>
</cp:coreProperties>
</file>