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396"/>
        <w:gridCol w:w="2882"/>
      </w:tblGrid>
      <w:tr w:rsidR="00CA631B" w:rsidRPr="00261C92" w:rsidTr="001D664B">
        <w:tc>
          <w:tcPr>
            <w:tcW w:w="2881" w:type="dxa"/>
            <w:hideMark/>
          </w:tcPr>
          <w:p w:rsidR="00CA631B" w:rsidRPr="00261C92" w:rsidRDefault="00CA631B" w:rsidP="001D664B">
            <w:pPr>
              <w:rPr>
                <w:rFonts w:ascii="Book Antiqua" w:hAnsi="Book Antiqua" w:cs="Times New Roman"/>
                <w:sz w:val="20"/>
              </w:rPr>
            </w:pPr>
          </w:p>
        </w:tc>
        <w:tc>
          <w:tcPr>
            <w:tcW w:w="2881" w:type="dxa"/>
            <w:hideMark/>
          </w:tcPr>
          <w:p w:rsidR="00CA631B" w:rsidRPr="00261C92" w:rsidRDefault="00CA631B" w:rsidP="001D664B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  <w:lang w:val="es-ES" w:eastAsia="es-ES"/>
              </w:rPr>
            </w:pPr>
            <w:bookmarkStart w:id="0" w:name="_GoBack"/>
            <w:r w:rsidRPr="00261C92">
              <w:rPr>
                <w:rFonts w:ascii="Book Antiqua" w:hAnsi="Book Antiqua"/>
                <w:noProof/>
                <w:sz w:val="20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20E8EF50" wp14:editId="23318C62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657860</wp:posOffset>
                  </wp:positionV>
                  <wp:extent cx="2014220" cy="1184910"/>
                  <wp:effectExtent l="0" t="0" r="508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220" cy="1184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2882" w:type="dxa"/>
            <w:hideMark/>
          </w:tcPr>
          <w:p w:rsidR="00CA631B" w:rsidRPr="00261C92" w:rsidRDefault="00CA631B" w:rsidP="001D664B">
            <w:pPr>
              <w:spacing w:after="0"/>
              <w:rPr>
                <w:rFonts w:ascii="Book Antiqua" w:hAnsi="Book Antiqua" w:cs="Times New Roman"/>
                <w:sz w:val="20"/>
              </w:rPr>
            </w:pPr>
          </w:p>
        </w:tc>
      </w:tr>
      <w:tr w:rsidR="00CA631B" w:rsidRPr="00261C92" w:rsidTr="001D664B">
        <w:tc>
          <w:tcPr>
            <w:tcW w:w="8644" w:type="dxa"/>
            <w:gridSpan w:val="3"/>
            <w:hideMark/>
          </w:tcPr>
          <w:p w:rsidR="00CA631B" w:rsidRPr="00261C92" w:rsidRDefault="00CA631B" w:rsidP="001D664B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3"/>
                <w:lang w:val="es-ES" w:eastAsia="es-ES"/>
              </w:rPr>
            </w:pPr>
            <w:r w:rsidRPr="00261C92">
              <w:rPr>
                <w:rFonts w:ascii="Book Antiqua" w:eastAsia="Times New Roman" w:hAnsi="Book Antiqua" w:cs="Times New Roman"/>
                <w:b/>
                <w:noProof/>
                <w:sz w:val="24"/>
                <w:szCs w:val="23"/>
                <w:lang w:val="es-ES" w:eastAsia="es-ES"/>
              </w:rPr>
              <w:t>MINISTERIO DE GOBERNACIÓN Y DESARROLLO TERRITORIAL</w:t>
            </w:r>
          </w:p>
          <w:p w:rsidR="00CA631B" w:rsidRPr="00261C92" w:rsidRDefault="00CA631B" w:rsidP="001D66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24"/>
                <w:szCs w:val="23"/>
                <w:lang w:val="es-ES" w:eastAsia="es-ES"/>
              </w:rPr>
            </w:pPr>
            <w:r w:rsidRPr="00261C92">
              <w:rPr>
                <w:rFonts w:ascii="Book Antiqua" w:eastAsia="Times New Roman" w:hAnsi="Book Antiqua" w:cs="Times New Roman"/>
                <w:b/>
                <w:noProof/>
                <w:sz w:val="24"/>
                <w:szCs w:val="23"/>
                <w:lang w:val="es-ES" w:eastAsia="es-ES"/>
              </w:rPr>
              <w:t>REPÚBLICA DE EL SALVADOR, AMÉRICA CENTRAL</w:t>
            </w:r>
          </w:p>
        </w:tc>
      </w:tr>
    </w:tbl>
    <w:p w:rsidR="00CA631B" w:rsidRPr="00261C92" w:rsidRDefault="00CA631B" w:rsidP="00CA631B">
      <w:pPr>
        <w:spacing w:after="0" w:line="240" w:lineRule="auto"/>
        <w:ind w:right="20"/>
        <w:jc w:val="both"/>
        <w:rPr>
          <w:rFonts w:ascii="Book Antiqua" w:eastAsia="Times New Roman" w:hAnsi="Book Antiqua" w:cs="Times New Roman"/>
          <w:b/>
          <w:sz w:val="24"/>
          <w:szCs w:val="23"/>
          <w:lang w:val="es-ES" w:eastAsia="es-ES"/>
        </w:rPr>
      </w:pPr>
    </w:p>
    <w:p w:rsidR="00066ED1" w:rsidRPr="00261C92" w:rsidRDefault="00CA631B" w:rsidP="00894164">
      <w:pPr>
        <w:spacing w:after="0"/>
        <w:jc w:val="both"/>
        <w:rPr>
          <w:rFonts w:ascii="Book Antiqua" w:eastAsia="Times New Roman" w:hAnsi="Book Antiqua"/>
          <w:sz w:val="24"/>
          <w:szCs w:val="23"/>
          <w:lang w:eastAsia="es-ES"/>
        </w:rPr>
      </w:pPr>
      <w:r w:rsidRPr="00261C92">
        <w:rPr>
          <w:rFonts w:ascii="Book Antiqua" w:eastAsia="Times New Roman" w:hAnsi="Book Antiqua"/>
          <w:b/>
          <w:sz w:val="24"/>
          <w:szCs w:val="23"/>
          <w:lang w:val="es-ES" w:eastAsia="es-ES"/>
        </w:rPr>
        <w:t xml:space="preserve">RESOLUCIÓN NÚMERO </w:t>
      </w:r>
      <w:r w:rsidR="00655EAD" w:rsidRPr="00261C92">
        <w:rPr>
          <w:rFonts w:ascii="Book Antiqua" w:eastAsia="Times New Roman" w:hAnsi="Book Antiqua"/>
          <w:b/>
          <w:sz w:val="24"/>
          <w:szCs w:val="23"/>
          <w:lang w:val="es-ES" w:eastAsia="es-ES"/>
        </w:rPr>
        <w:t xml:space="preserve">CIENTO </w:t>
      </w:r>
      <w:r w:rsidR="00453DF2" w:rsidRPr="00261C92">
        <w:rPr>
          <w:rFonts w:ascii="Book Antiqua" w:eastAsia="Times New Roman" w:hAnsi="Book Antiqua"/>
          <w:b/>
          <w:sz w:val="24"/>
          <w:szCs w:val="23"/>
          <w:lang w:val="es-ES" w:eastAsia="es-ES"/>
        </w:rPr>
        <w:t xml:space="preserve">OCHENTA Y CUATRO, </w:t>
      </w:r>
      <w:r w:rsidRPr="00261C92">
        <w:rPr>
          <w:rFonts w:ascii="Book Antiqua" w:eastAsia="Times New Roman" w:hAnsi="Book Antiqua"/>
          <w:b/>
          <w:sz w:val="24"/>
          <w:szCs w:val="23"/>
          <w:lang w:val="es-ES" w:eastAsia="es-ES"/>
        </w:rPr>
        <w:t xml:space="preserve">NÚMERO CORRELATIVO </w:t>
      </w:r>
      <w:r w:rsidRPr="00261C92">
        <w:rPr>
          <w:rFonts w:ascii="Book Antiqua" w:hAnsi="Book Antiqua"/>
          <w:b/>
          <w:sz w:val="24"/>
          <w:szCs w:val="23"/>
        </w:rPr>
        <w:t>MIGOB-2017-0188</w:t>
      </w:r>
      <w:r w:rsidRPr="00261C92">
        <w:rPr>
          <w:rFonts w:ascii="Book Antiqua" w:eastAsia="Times New Roman" w:hAnsi="Book Antiqua"/>
          <w:b/>
          <w:sz w:val="24"/>
          <w:szCs w:val="23"/>
          <w:lang w:val="es-ES" w:eastAsia="es-ES"/>
        </w:rPr>
        <w:t xml:space="preserve">. UNIDAD DE ACCESO A LA INFORMACIÓN DEL MINISTERIO DE GOBERNACIÓN Y DESARROLLO TERRITORIAL. </w:t>
      </w:r>
      <w:r w:rsidRPr="00261C92">
        <w:rPr>
          <w:rFonts w:ascii="Book Antiqua" w:eastAsia="Times New Roman" w:hAnsi="Book Antiqua"/>
          <w:sz w:val="24"/>
          <w:szCs w:val="23"/>
          <w:lang w:val="es-ES" w:eastAsia="es-ES"/>
        </w:rPr>
        <w:t xml:space="preserve">San Salvador a las catorce horas con treinta </w:t>
      </w:r>
      <w:r w:rsidR="00453DF2" w:rsidRPr="00261C92">
        <w:rPr>
          <w:rFonts w:ascii="Book Antiqua" w:eastAsia="Times New Roman" w:hAnsi="Book Antiqua"/>
          <w:sz w:val="24"/>
          <w:szCs w:val="23"/>
          <w:lang w:val="es-ES" w:eastAsia="es-ES"/>
        </w:rPr>
        <w:t>minutos del día diecinueve</w:t>
      </w:r>
      <w:r w:rsidRPr="00261C92">
        <w:rPr>
          <w:rFonts w:ascii="Book Antiqua" w:eastAsia="Times New Roman" w:hAnsi="Book Antiqua"/>
          <w:sz w:val="24"/>
          <w:szCs w:val="23"/>
          <w:lang w:val="es-ES" w:eastAsia="es-ES"/>
        </w:rPr>
        <w:t xml:space="preserve"> de d</w:t>
      </w:r>
      <w:r w:rsidR="00C02C56" w:rsidRPr="00261C92">
        <w:rPr>
          <w:rFonts w:ascii="Book Antiqua" w:eastAsia="Times New Roman" w:hAnsi="Book Antiqua"/>
          <w:sz w:val="24"/>
          <w:szCs w:val="23"/>
          <w:lang w:val="es-ES" w:eastAsia="es-ES"/>
        </w:rPr>
        <w:t xml:space="preserve">iciembre de dos mil diecisiete. </w:t>
      </w:r>
      <w:r w:rsidRPr="00261C92">
        <w:rPr>
          <w:rFonts w:ascii="Book Antiqua" w:eastAsia="Times New Roman" w:hAnsi="Book Antiqua"/>
          <w:b/>
          <w:sz w:val="24"/>
          <w:szCs w:val="23"/>
          <w:lang w:val="es-ES" w:eastAsia="es-ES"/>
        </w:rPr>
        <w:t>CONSIDERANDO:</w:t>
      </w:r>
      <w:r w:rsidRPr="00261C92">
        <w:rPr>
          <w:rFonts w:ascii="Book Antiqua" w:eastAsia="Times New Roman" w:hAnsi="Book Antiqua"/>
          <w:sz w:val="24"/>
          <w:szCs w:val="23"/>
          <w:lang w:val="es-ES" w:eastAsia="es-ES"/>
        </w:rPr>
        <w:t xml:space="preserve"> </w:t>
      </w:r>
      <w:r w:rsidRPr="00261C92">
        <w:rPr>
          <w:rFonts w:ascii="Book Antiqua" w:eastAsia="Times New Roman" w:hAnsi="Book Antiqua"/>
          <w:b/>
          <w:sz w:val="24"/>
          <w:szCs w:val="23"/>
          <w:lang w:val="es-ES" w:eastAsia="es-ES"/>
        </w:rPr>
        <w:t>I.</w:t>
      </w:r>
      <w:r w:rsidRPr="00261C92">
        <w:rPr>
          <w:rFonts w:ascii="Book Antiqua" w:eastAsia="Times New Roman" w:hAnsi="Book Antiqua"/>
          <w:sz w:val="24"/>
          <w:szCs w:val="23"/>
          <w:lang w:val="es-ES" w:eastAsia="es-ES"/>
        </w:rPr>
        <w:t xml:space="preserve"> Que habién</w:t>
      </w:r>
      <w:r w:rsidR="00453DF2" w:rsidRPr="00261C92">
        <w:rPr>
          <w:rFonts w:ascii="Book Antiqua" w:eastAsia="Times New Roman" w:hAnsi="Book Antiqua"/>
          <w:sz w:val="24"/>
          <w:szCs w:val="23"/>
          <w:lang w:val="es-ES" w:eastAsia="es-ES"/>
        </w:rPr>
        <w:t xml:space="preserve">dose presentado solicitud a la </w:t>
      </w:r>
      <w:r w:rsidRPr="00261C92">
        <w:rPr>
          <w:rFonts w:ascii="Book Antiqua" w:eastAsia="Times New Roman" w:hAnsi="Book Antiqua"/>
          <w:sz w:val="24"/>
          <w:szCs w:val="23"/>
          <w:lang w:val="es-ES" w:eastAsia="es-ES"/>
        </w:rPr>
        <w:t>Unidad de Acceso a la Información  de esta Secretaria de Estado por:</w:t>
      </w:r>
      <w:r w:rsidRPr="00261C92">
        <w:rPr>
          <w:rFonts w:ascii="Book Antiqua" w:hAnsi="Book Antiqua"/>
          <w:sz w:val="24"/>
          <w:szCs w:val="23"/>
          <w:lang w:val="es-ES"/>
        </w:rPr>
        <w:t xml:space="preserve"> </w:t>
      </w:r>
      <w:r w:rsidR="00261C92" w:rsidRPr="00261C92">
        <w:rPr>
          <w:rFonts w:ascii="Book Antiqua" w:hAnsi="Book Antiqua"/>
          <w:b/>
          <w:sz w:val="24"/>
          <w:szCs w:val="23"/>
        </w:rPr>
        <w:t>XXXXXXXXXXXXXXX</w:t>
      </w:r>
      <w:r w:rsidRPr="00261C92">
        <w:rPr>
          <w:rFonts w:ascii="Book Antiqua" w:hAnsi="Book Antiqua"/>
          <w:b/>
          <w:sz w:val="24"/>
          <w:szCs w:val="23"/>
        </w:rPr>
        <w:t xml:space="preserve">, </w:t>
      </w:r>
      <w:r w:rsidRPr="00261C92">
        <w:rPr>
          <w:rFonts w:ascii="Book Antiqua" w:hAnsi="Book Antiqua"/>
          <w:sz w:val="24"/>
          <w:szCs w:val="23"/>
        </w:rPr>
        <w:t xml:space="preserve">el día 12 de diciembre </w:t>
      </w:r>
      <w:r w:rsidRPr="00261C92">
        <w:rPr>
          <w:rFonts w:ascii="Book Antiqua" w:eastAsia="Times New Roman" w:hAnsi="Book Antiqua"/>
          <w:bCs/>
          <w:sz w:val="24"/>
          <w:szCs w:val="23"/>
          <w:lang w:val="es-ES" w:eastAsia="es-ES"/>
        </w:rPr>
        <w:t>del año 2017</w:t>
      </w:r>
      <w:r w:rsidRPr="00261C92">
        <w:rPr>
          <w:rFonts w:ascii="Book Antiqua" w:eastAsia="Times New Roman" w:hAnsi="Book Antiqua"/>
          <w:sz w:val="24"/>
          <w:szCs w:val="23"/>
          <w:lang w:val="es-ES" w:eastAsia="es-ES"/>
        </w:rPr>
        <w:t>. En la cual requiere:</w:t>
      </w:r>
      <w:r w:rsidRPr="00261C92">
        <w:rPr>
          <w:rFonts w:ascii="Book Antiqua" w:eastAsia="Times New Roman" w:hAnsi="Book Antiqua"/>
          <w:sz w:val="24"/>
          <w:szCs w:val="23"/>
          <w:lang w:eastAsia="es-ES"/>
        </w:rPr>
        <w:t xml:space="preserve"> “1 Periodo para poder aplicar a la licitación de seguros automotrices de vehículos institucionales para 2018.  2. Remisión de formularios de licitación para poder aplicar a la licitación de seguros automotrices para 2018.” </w:t>
      </w:r>
      <w:r w:rsidRPr="00261C92">
        <w:rPr>
          <w:rFonts w:ascii="Book Antiqua" w:eastAsia="Times New Roman" w:hAnsi="Book Antiqua"/>
          <w:b/>
          <w:sz w:val="24"/>
          <w:szCs w:val="23"/>
          <w:lang w:eastAsia="es-ES"/>
        </w:rPr>
        <w:t>II</w:t>
      </w:r>
      <w:r w:rsidRPr="00261C92">
        <w:rPr>
          <w:rFonts w:ascii="Book Antiqua" w:eastAsia="Times New Roman" w:hAnsi="Book Antiqua"/>
          <w:sz w:val="24"/>
          <w:szCs w:val="23"/>
          <w:lang w:eastAsia="es-ES"/>
        </w:rPr>
        <w:t xml:space="preserve">. </w:t>
      </w:r>
      <w:r w:rsidRPr="00261C92">
        <w:rPr>
          <w:rFonts w:ascii="Book Antiqua" w:eastAsia="Times New Roman" w:hAnsi="Book Antiqua"/>
          <w:sz w:val="24"/>
          <w:szCs w:val="23"/>
          <w:lang w:val="es-ES" w:eastAsia="es-ES"/>
        </w:rPr>
        <w:t>Que la referida solicitud cumple con todos los requisitos establecidos en el artículo 66 de la Ley de Acceso a la Información Pública (LAIP) y el artículo 50 del Reg</w:t>
      </w:r>
      <w:r w:rsidR="00453DF2" w:rsidRPr="00261C92">
        <w:rPr>
          <w:rFonts w:ascii="Book Antiqua" w:eastAsia="Times New Roman" w:hAnsi="Book Antiqua"/>
          <w:sz w:val="24"/>
          <w:szCs w:val="23"/>
          <w:lang w:val="es-ES" w:eastAsia="es-ES"/>
        </w:rPr>
        <w:t xml:space="preserve">lamento de la Ley antes citada. </w:t>
      </w:r>
      <w:r w:rsidRPr="00261C92">
        <w:rPr>
          <w:rFonts w:ascii="Book Antiqua" w:eastAsia="Times New Roman" w:hAnsi="Book Antiqua"/>
          <w:b/>
          <w:sz w:val="24"/>
          <w:szCs w:val="23"/>
          <w:lang w:eastAsia="es-ES"/>
        </w:rPr>
        <w:t>III.</w:t>
      </w:r>
      <w:r w:rsidRPr="00261C92">
        <w:rPr>
          <w:rFonts w:ascii="Book Antiqua" w:eastAsia="Times New Roman" w:hAnsi="Book Antiqua"/>
          <w:sz w:val="24"/>
          <w:szCs w:val="23"/>
          <w:lang w:eastAsia="es-ES"/>
        </w:rPr>
        <w:t xml:space="preserve"> Conforme artículo </w:t>
      </w:r>
      <w:r w:rsidR="00453DF2" w:rsidRPr="00261C92">
        <w:rPr>
          <w:rFonts w:ascii="Book Antiqua" w:eastAsia="Times New Roman" w:hAnsi="Book Antiqua"/>
          <w:sz w:val="24"/>
          <w:szCs w:val="23"/>
          <w:lang w:eastAsia="es-ES"/>
        </w:rPr>
        <w:t xml:space="preserve">55 del Reglamento de </w:t>
      </w:r>
      <w:r w:rsidRPr="00261C92">
        <w:rPr>
          <w:rFonts w:ascii="Book Antiqua" w:eastAsia="Times New Roman" w:hAnsi="Book Antiqua"/>
          <w:sz w:val="24"/>
          <w:szCs w:val="23"/>
          <w:lang w:eastAsia="es-ES"/>
        </w:rPr>
        <w:t>la LAIP</w:t>
      </w:r>
      <w:r w:rsidR="00453DF2" w:rsidRPr="00261C92">
        <w:rPr>
          <w:rFonts w:ascii="Book Antiqua" w:eastAsia="Times New Roman" w:hAnsi="Book Antiqua"/>
          <w:sz w:val="24"/>
          <w:szCs w:val="23"/>
          <w:lang w:eastAsia="es-ES"/>
        </w:rPr>
        <w:t xml:space="preserve"> en relación al Art. 70 de la mencionada normativa</w:t>
      </w:r>
      <w:r w:rsidRPr="00261C92">
        <w:rPr>
          <w:rFonts w:ascii="Book Antiqua" w:eastAsia="Times New Roman" w:hAnsi="Book Antiqua"/>
          <w:sz w:val="24"/>
          <w:szCs w:val="23"/>
          <w:lang w:eastAsia="es-ES"/>
        </w:rPr>
        <w:t xml:space="preserve">, se </w:t>
      </w:r>
      <w:r w:rsidR="00453DF2" w:rsidRPr="00261C92">
        <w:rPr>
          <w:rFonts w:ascii="Book Antiqua" w:eastAsia="Times New Roman" w:hAnsi="Book Antiqua"/>
          <w:sz w:val="24"/>
          <w:szCs w:val="23"/>
          <w:lang w:eastAsia="es-ES"/>
        </w:rPr>
        <w:t xml:space="preserve"> solicitó colaboración para el análisis de la solicitud y en su caso localización  de la información </w:t>
      </w:r>
      <w:r w:rsidRPr="00261C92">
        <w:rPr>
          <w:rFonts w:ascii="Book Antiqua" w:eastAsia="Times New Roman" w:hAnsi="Book Antiqua"/>
          <w:sz w:val="24"/>
          <w:szCs w:val="23"/>
          <w:lang w:eastAsia="es-ES"/>
        </w:rPr>
        <w:t xml:space="preserve">a la </w:t>
      </w:r>
      <w:r w:rsidR="00453DF2" w:rsidRPr="00261C92">
        <w:rPr>
          <w:rFonts w:ascii="Book Antiqua" w:eastAsia="Times New Roman" w:hAnsi="Book Antiqua"/>
          <w:sz w:val="24"/>
          <w:szCs w:val="23"/>
          <w:lang w:eastAsia="es-ES"/>
        </w:rPr>
        <w:t xml:space="preserve">Dirección de  la </w:t>
      </w:r>
      <w:r w:rsidRPr="00261C92">
        <w:rPr>
          <w:rFonts w:ascii="Book Antiqua" w:eastAsia="Times New Roman" w:hAnsi="Book Antiqua"/>
          <w:sz w:val="24"/>
          <w:szCs w:val="23"/>
          <w:lang w:eastAsia="es-ES"/>
        </w:rPr>
        <w:t xml:space="preserve">Unidad de Adquisiciones y Contrataciones Institucional quien informa lo siguiente: </w:t>
      </w:r>
      <w:r w:rsidRPr="00261C92">
        <w:rPr>
          <w:rFonts w:ascii="Book Antiqua" w:eastAsia="Times New Roman" w:hAnsi="Book Antiqua"/>
          <w:i/>
          <w:sz w:val="24"/>
          <w:szCs w:val="23"/>
          <w:lang w:eastAsia="es-ES"/>
        </w:rPr>
        <w:t>“Que como respetuosos y garantes del fiel cumplimiento de la Ley de Adquisiciones y Contrataciones de la Administración Pública (LACAP), la cual no permite para lo antes solicitado brindar ninguna información, a razón de encontrarse el proceso actualmente en desarrollo, por lo que a continuación se detalla textualmente lo dispuesto en art. 54 de la LACAP, el cual nos menciona en su primer inciso.</w:t>
      </w:r>
      <w:r w:rsidR="00453DF2" w:rsidRPr="00261C92">
        <w:rPr>
          <w:rFonts w:ascii="Book Antiqua" w:eastAsia="Times New Roman" w:hAnsi="Book Antiqua"/>
          <w:i/>
          <w:sz w:val="24"/>
          <w:szCs w:val="23"/>
          <w:lang w:eastAsia="es-ES"/>
        </w:rPr>
        <w:t xml:space="preserve">-- </w:t>
      </w:r>
      <w:r w:rsidRPr="00261C92">
        <w:rPr>
          <w:rFonts w:ascii="Book Antiqua" w:eastAsia="Times New Roman" w:hAnsi="Book Antiqua"/>
          <w:b/>
          <w:i/>
          <w:sz w:val="24"/>
          <w:szCs w:val="23"/>
          <w:lang w:eastAsia="es-ES"/>
        </w:rPr>
        <w:t>Prohibiciones:</w:t>
      </w:r>
      <w:r w:rsidR="00453DF2" w:rsidRPr="00261C92">
        <w:rPr>
          <w:rFonts w:ascii="Book Antiqua" w:eastAsia="Times New Roman" w:hAnsi="Book Antiqua"/>
          <w:b/>
          <w:i/>
          <w:sz w:val="24"/>
          <w:szCs w:val="23"/>
          <w:lang w:eastAsia="es-ES"/>
        </w:rPr>
        <w:t xml:space="preserve"> --</w:t>
      </w:r>
      <w:r w:rsidRPr="00261C92">
        <w:rPr>
          <w:rFonts w:ascii="Book Antiqua" w:eastAsia="Times New Roman" w:hAnsi="Book Antiqua"/>
          <w:i/>
          <w:sz w:val="24"/>
          <w:szCs w:val="23"/>
          <w:lang w:eastAsia="es-ES"/>
        </w:rPr>
        <w:t xml:space="preserve">Art. 54.- después de la apertura de las ofertas y antes de la notificación del resultado del proceso, no se brindará información alguna con respecto al examen, tabulación, aclaración y evaluación de las ofertas y las recomendaciones relativas a las adjudicaciones de las mismas; a ninguna persona o personas que no estén vinculadas en el proceso de análisis y evaluación de ofertas. </w:t>
      </w:r>
      <w:r w:rsidRPr="00261C92">
        <w:rPr>
          <w:rFonts w:ascii="Book Antiqua" w:eastAsia="Times New Roman" w:hAnsi="Book Antiqua"/>
          <w:i/>
          <w:sz w:val="24"/>
          <w:szCs w:val="23"/>
          <w:lang w:eastAsia="es-ES"/>
        </w:rPr>
        <w:lastRenderedPageBreak/>
        <w:t>Esto se aplica tanto a funcionarios o empleados de la institución contratante, como a personal relacionado con las empresas ofertantes, la infracción a la anterior prohibición dará lugar a la aplicación de las sanciones correspondientes.”</w:t>
      </w:r>
      <w:r w:rsidR="00453DF2" w:rsidRPr="00261C92">
        <w:rPr>
          <w:rFonts w:ascii="Book Antiqua" w:eastAsia="Times New Roman" w:hAnsi="Book Antiqua"/>
          <w:i/>
          <w:sz w:val="24"/>
          <w:szCs w:val="23"/>
          <w:lang w:eastAsia="es-ES"/>
        </w:rPr>
        <w:t xml:space="preserve">. </w:t>
      </w:r>
      <w:r w:rsidR="00BC530B" w:rsidRPr="00261C92">
        <w:rPr>
          <w:rFonts w:ascii="Book Antiqua" w:eastAsia="Times New Roman" w:hAnsi="Book Antiqua"/>
          <w:sz w:val="24"/>
          <w:szCs w:val="23"/>
          <w:lang w:eastAsia="es-ES"/>
        </w:rPr>
        <w:t xml:space="preserve">IV. </w:t>
      </w:r>
      <w:r w:rsidR="00453DF2" w:rsidRPr="00261C92">
        <w:rPr>
          <w:rFonts w:ascii="Book Antiqua" w:eastAsia="Times New Roman" w:hAnsi="Book Antiqua"/>
          <w:sz w:val="24"/>
          <w:szCs w:val="23"/>
          <w:lang w:eastAsia="es-ES"/>
        </w:rPr>
        <w:t xml:space="preserve">Que conforme a lo mencionado por la Unidad Administrativa, la infrascrita Oficial de Información </w:t>
      </w:r>
      <w:r w:rsidR="00C02C56" w:rsidRPr="00261C92">
        <w:rPr>
          <w:rFonts w:ascii="Book Antiqua" w:eastAsia="Times New Roman" w:hAnsi="Book Antiqua"/>
          <w:sz w:val="24"/>
          <w:szCs w:val="23"/>
          <w:lang w:eastAsia="es-ES"/>
        </w:rPr>
        <w:t xml:space="preserve">procedió a verificar el  Índice de </w:t>
      </w:r>
      <w:r w:rsidR="00DF4560" w:rsidRPr="00261C92">
        <w:rPr>
          <w:rFonts w:ascii="Book Antiqua" w:eastAsia="Times New Roman" w:hAnsi="Book Antiqua"/>
          <w:sz w:val="24"/>
          <w:szCs w:val="23"/>
          <w:lang w:eastAsia="es-ES"/>
        </w:rPr>
        <w:t xml:space="preserve"> Información Declarada como Reservada, verificando que en correlativo número 1, como parte del detalle de información o documento a reservar se encuentra: “expediente de proceso de contratación, licitación, contratación directa, libre gestión, consultoría y las adjudicaciones” </w:t>
      </w:r>
      <w:r w:rsidR="009B0E7D" w:rsidRPr="00261C92">
        <w:rPr>
          <w:rFonts w:ascii="Book Antiqua" w:eastAsia="Times New Roman" w:hAnsi="Book Antiqua"/>
          <w:sz w:val="24"/>
          <w:szCs w:val="23"/>
          <w:lang w:eastAsia="es-ES"/>
        </w:rPr>
        <w:t>, asimismo, se establece la justificación a dicha declaración de reserva la siguiente: Art. 19 literal h de la Ley de Acceso a la Información Pública “la que pueda generar una ventaja  indebida a una persona en perjuicio”</w:t>
      </w:r>
      <w:r w:rsidR="00F04F36" w:rsidRPr="00261C92">
        <w:rPr>
          <w:rFonts w:ascii="Book Antiqua" w:eastAsia="Times New Roman" w:hAnsi="Book Antiqua"/>
          <w:sz w:val="24"/>
          <w:szCs w:val="23"/>
          <w:lang w:eastAsia="es-ES"/>
        </w:rPr>
        <w:t>, es de agregar, que se entiende por ventaja indebida  aquella que permita al solicitante en virtud de la naturaleza o el momento</w:t>
      </w:r>
      <w:r w:rsidR="00007CFB" w:rsidRPr="00261C92">
        <w:rPr>
          <w:rFonts w:ascii="Book Antiqua" w:eastAsia="Times New Roman" w:hAnsi="Book Antiqua"/>
          <w:sz w:val="24"/>
          <w:szCs w:val="23"/>
          <w:lang w:eastAsia="es-ES"/>
        </w:rPr>
        <w:t xml:space="preserve">, información que no es licito </w:t>
      </w:r>
      <w:r w:rsidR="00894164" w:rsidRPr="00261C92">
        <w:rPr>
          <w:rFonts w:ascii="Book Antiqua" w:eastAsia="Times New Roman" w:hAnsi="Book Antiqua"/>
          <w:sz w:val="24"/>
          <w:szCs w:val="23"/>
          <w:lang w:eastAsia="es-ES"/>
        </w:rPr>
        <w:t>que obtenga ya que presenta de forma razonable y suficiente un beneficio de información que no está expresamente regulado o bien que exista legislación que prohíbe la divulgación por temas de claro interés</w:t>
      </w:r>
      <w:r w:rsidR="00066ED1" w:rsidRPr="00261C92">
        <w:rPr>
          <w:rFonts w:ascii="Book Antiqua" w:eastAsia="Times New Roman" w:hAnsi="Book Antiqua"/>
          <w:sz w:val="24"/>
          <w:szCs w:val="23"/>
          <w:lang w:eastAsia="es-ES"/>
        </w:rPr>
        <w:t xml:space="preserve">, en el  presente caso se ha citado la normativa pertinente que prohíbe la divulgación de dicha información, Art. 54 de la </w:t>
      </w:r>
    </w:p>
    <w:p w:rsidR="00CA631B" w:rsidRPr="00261C92" w:rsidRDefault="00066ED1" w:rsidP="00894164">
      <w:pPr>
        <w:spacing w:after="0"/>
        <w:jc w:val="both"/>
        <w:rPr>
          <w:rFonts w:ascii="Book Antiqua" w:eastAsia="Times New Roman" w:hAnsi="Book Antiqua" w:cs="Times New Roman"/>
          <w:b/>
          <w:sz w:val="24"/>
          <w:szCs w:val="23"/>
          <w:lang w:val="es-ES" w:eastAsia="es-ES"/>
        </w:rPr>
      </w:pPr>
      <w:r w:rsidRPr="00261C92">
        <w:rPr>
          <w:rFonts w:ascii="Book Antiqua" w:eastAsia="Times New Roman" w:hAnsi="Book Antiqua"/>
          <w:sz w:val="24"/>
          <w:szCs w:val="23"/>
          <w:lang w:eastAsia="es-ES"/>
        </w:rPr>
        <w:t xml:space="preserve">Ley de Adquisiciones y Contrataciones de la Administración Pública, aunado, a las razones justificadas por la Ley de Acceso a la Información Pública que se han expresado. </w:t>
      </w:r>
      <w:r w:rsidR="00CA631B" w:rsidRPr="00261C92">
        <w:rPr>
          <w:rFonts w:ascii="Book Antiqua" w:eastAsia="Times New Roman" w:hAnsi="Book Antiqua" w:cs="Times New Roman"/>
          <w:b/>
          <w:sz w:val="24"/>
          <w:szCs w:val="23"/>
          <w:lang w:val="es-ES" w:eastAsia="es-ES"/>
        </w:rPr>
        <w:t xml:space="preserve">POR TANTO, </w:t>
      </w:r>
      <w:r w:rsidR="00CA631B" w:rsidRPr="00261C92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>conforme a los Art. 86 inc. 3</w:t>
      </w:r>
      <w:r w:rsidR="00894164" w:rsidRPr="00261C92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>°</w:t>
      </w:r>
      <w:r w:rsidR="00CA631B" w:rsidRPr="00261C92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 xml:space="preserve"> de la Constitución, y Art. 2 y Arts. 7, 9, 50, 62 y 72 de la Ley de Acceso a la Información Pública, esta dependencia</w:t>
      </w:r>
      <w:r w:rsidRPr="00261C92">
        <w:rPr>
          <w:rFonts w:ascii="Book Antiqua" w:eastAsia="Times New Roman" w:hAnsi="Book Antiqua" w:cs="Times New Roman"/>
          <w:b/>
          <w:sz w:val="24"/>
          <w:szCs w:val="23"/>
          <w:lang w:val="es-ES" w:eastAsia="es-ES"/>
        </w:rPr>
        <w:t xml:space="preserve">, RESUELVE: 1° NEGAR  EL ACCESO </w:t>
      </w:r>
      <w:r w:rsidRPr="00261C92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 xml:space="preserve">a la información solicitada  por estar clasificada como reservada. </w:t>
      </w:r>
      <w:r w:rsidR="00CA631B" w:rsidRPr="00261C92">
        <w:rPr>
          <w:rFonts w:ascii="Book Antiqua" w:eastAsia="Times New Roman" w:hAnsi="Book Antiqua" w:cs="Times New Roman"/>
          <w:b/>
          <w:sz w:val="24"/>
          <w:szCs w:val="23"/>
          <w:lang w:val="es-ES" w:eastAsia="es-ES"/>
        </w:rPr>
        <w:t>2</w:t>
      </w:r>
      <w:r w:rsidR="00CA631B" w:rsidRPr="00261C92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 xml:space="preserve">° Remítase la presente por medio señalada para tal efecto. </w:t>
      </w:r>
      <w:r w:rsidR="00CA631B" w:rsidRPr="00261C92">
        <w:rPr>
          <w:rFonts w:ascii="Book Antiqua" w:eastAsia="Times New Roman" w:hAnsi="Book Antiqua" w:cs="Times New Roman"/>
          <w:b/>
          <w:sz w:val="24"/>
          <w:szCs w:val="23"/>
          <w:lang w:val="es-ES" w:eastAsia="es-ES"/>
        </w:rPr>
        <w:t>NOTIFÍQUESE</w:t>
      </w:r>
      <w:r w:rsidR="00CA631B" w:rsidRPr="00261C92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>.</w:t>
      </w:r>
    </w:p>
    <w:p w:rsidR="00CA631B" w:rsidRPr="00261C92" w:rsidRDefault="00CA631B" w:rsidP="00CA631B">
      <w:pPr>
        <w:rPr>
          <w:rFonts w:ascii="Book Antiqua" w:eastAsia="Times New Roman" w:hAnsi="Book Antiqua" w:cs="Times New Roman"/>
          <w:sz w:val="24"/>
          <w:szCs w:val="23"/>
          <w:lang w:val="es-ES" w:eastAsia="es-ES"/>
        </w:rPr>
      </w:pPr>
    </w:p>
    <w:p w:rsidR="00CA631B" w:rsidRPr="00261C92" w:rsidRDefault="00CA631B" w:rsidP="00CA631B">
      <w:pPr>
        <w:rPr>
          <w:rFonts w:ascii="Book Antiqua" w:eastAsia="Times New Roman" w:hAnsi="Book Antiqua" w:cs="Times New Roman"/>
          <w:sz w:val="24"/>
          <w:szCs w:val="23"/>
          <w:lang w:val="es-ES" w:eastAsia="es-ES"/>
        </w:rPr>
      </w:pPr>
    </w:p>
    <w:p w:rsidR="00CA631B" w:rsidRPr="00261C92" w:rsidRDefault="00CA631B" w:rsidP="00CA631B">
      <w:pPr>
        <w:rPr>
          <w:rFonts w:ascii="Book Antiqua" w:eastAsia="Times New Roman" w:hAnsi="Book Antiqua" w:cs="Times New Roman"/>
          <w:sz w:val="24"/>
          <w:szCs w:val="23"/>
          <w:lang w:val="es-ES" w:eastAsia="es-ES"/>
        </w:rPr>
      </w:pPr>
    </w:p>
    <w:p w:rsidR="00CA631B" w:rsidRPr="00261C92" w:rsidRDefault="00CA631B" w:rsidP="00CA631B">
      <w:pPr>
        <w:tabs>
          <w:tab w:val="left" w:pos="3418"/>
        </w:tabs>
        <w:spacing w:after="0"/>
        <w:jc w:val="center"/>
        <w:rPr>
          <w:rFonts w:ascii="Book Antiqua" w:eastAsia="Times New Roman" w:hAnsi="Book Antiqua" w:cs="Times New Roman"/>
          <w:b/>
          <w:sz w:val="24"/>
          <w:szCs w:val="23"/>
          <w:lang w:val="es-ES_tradnl" w:eastAsia="es-ES_tradnl"/>
        </w:rPr>
      </w:pPr>
      <w:r w:rsidRPr="00261C92">
        <w:rPr>
          <w:rFonts w:ascii="Book Antiqua" w:eastAsia="Times New Roman" w:hAnsi="Book Antiqua" w:cs="Times New Roman"/>
          <w:b/>
          <w:sz w:val="24"/>
          <w:szCs w:val="23"/>
          <w:lang w:val="es-ES_tradnl" w:eastAsia="es-ES_tradnl"/>
        </w:rPr>
        <w:t>JENNI VANESSA QUINTANILLA GARCÍA</w:t>
      </w:r>
    </w:p>
    <w:p w:rsidR="00CA631B" w:rsidRPr="00261C92" w:rsidRDefault="00CA631B" w:rsidP="00CA631B">
      <w:pPr>
        <w:spacing w:after="0"/>
        <w:jc w:val="center"/>
        <w:rPr>
          <w:rFonts w:ascii="Book Antiqua" w:eastAsia="Times New Roman" w:hAnsi="Book Antiqua" w:cs="Times New Roman"/>
          <w:b/>
          <w:sz w:val="24"/>
          <w:szCs w:val="23"/>
          <w:lang w:val="es-ES_tradnl" w:eastAsia="es-ES_tradnl"/>
        </w:rPr>
      </w:pPr>
      <w:r w:rsidRPr="00261C92">
        <w:rPr>
          <w:rFonts w:ascii="Book Antiqua" w:eastAsia="Times New Roman" w:hAnsi="Book Antiqua" w:cs="Times New Roman"/>
          <w:b/>
          <w:sz w:val="24"/>
          <w:szCs w:val="23"/>
          <w:lang w:val="es-ES_tradnl" w:eastAsia="es-ES_tradnl"/>
        </w:rPr>
        <w:t>OFICIAL DE INFORMACIÓN AD-HONOREM</w:t>
      </w:r>
    </w:p>
    <w:p w:rsidR="00CA631B" w:rsidRPr="00261C92" w:rsidRDefault="00CA631B" w:rsidP="00CA631B">
      <w:pPr>
        <w:rPr>
          <w:rFonts w:ascii="Book Antiqua" w:hAnsi="Book Antiqua"/>
          <w:lang w:val="es-ES_tradnl"/>
        </w:rPr>
      </w:pPr>
    </w:p>
    <w:p w:rsidR="00B44372" w:rsidRPr="00261C92" w:rsidRDefault="00B44372">
      <w:pPr>
        <w:rPr>
          <w:rFonts w:ascii="Book Antiqua" w:hAnsi="Book Antiqua"/>
          <w:lang w:val="es-ES_tradnl"/>
        </w:rPr>
      </w:pPr>
    </w:p>
    <w:sectPr w:rsidR="00B44372" w:rsidRPr="00261C92" w:rsidSect="00C47CD0">
      <w:headerReference w:type="default" r:id="rId8"/>
      <w:footerReference w:type="default" r:id="rId9"/>
      <w:pgSz w:w="12240" w:h="15840"/>
      <w:pgMar w:top="1417" w:right="146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3C" w:rsidRDefault="00E2303C">
      <w:pPr>
        <w:spacing w:after="0" w:line="240" w:lineRule="auto"/>
      </w:pPr>
      <w:r>
        <w:separator/>
      </w:r>
    </w:p>
  </w:endnote>
  <w:endnote w:type="continuationSeparator" w:id="0">
    <w:p w:rsidR="00E2303C" w:rsidRDefault="00E2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0" w:rsidRPr="001E74F9" w:rsidRDefault="00655EAD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B05C30" w:rsidRPr="001E74F9" w:rsidRDefault="00655EAD" w:rsidP="00B05C3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B05C30" w:rsidRPr="001E74F9" w:rsidRDefault="00655EAD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B05C30" w:rsidRDefault="00655EAD" w:rsidP="00B05C3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4EC10CB6" wp14:editId="5F117536">
          <wp:simplePos x="0" y="0"/>
          <wp:positionH relativeFrom="column">
            <wp:posOffset>-24765</wp:posOffset>
          </wp:positionH>
          <wp:positionV relativeFrom="paragraph">
            <wp:posOffset>23495</wp:posOffset>
          </wp:positionV>
          <wp:extent cx="1675765" cy="318135"/>
          <wp:effectExtent l="0" t="0" r="635" b="571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167576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C30" w:rsidRDefault="00E2303C" w:rsidP="00B05C30">
    <w:pPr>
      <w:pStyle w:val="Piedepgina"/>
    </w:pPr>
  </w:p>
  <w:p w:rsidR="00B05C30" w:rsidRPr="00523838" w:rsidRDefault="00E2303C" w:rsidP="00B05C30">
    <w:pPr>
      <w:pStyle w:val="Piedepgina"/>
    </w:pPr>
  </w:p>
  <w:p w:rsidR="007D4A17" w:rsidRDefault="00E230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3C" w:rsidRDefault="00E2303C">
      <w:pPr>
        <w:spacing w:after="0" w:line="240" w:lineRule="auto"/>
      </w:pPr>
      <w:r>
        <w:separator/>
      </w:r>
    </w:p>
  </w:footnote>
  <w:footnote w:type="continuationSeparator" w:id="0">
    <w:p w:rsidR="00E2303C" w:rsidRDefault="00E23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C92" w:rsidRDefault="00261C92" w:rsidP="00261C92">
    <w:pPr>
      <w:spacing w:after="0"/>
      <w:jc w:val="both"/>
      <w:rPr>
        <w:rFonts w:ascii="Book Antiqua" w:eastAsia="Times New Roman" w:hAnsi="Book Antiqua" w:cs="Times New Roman"/>
        <w:b/>
        <w:color w:val="FF0000"/>
        <w:sz w:val="24"/>
        <w:szCs w:val="24"/>
        <w:lang w:val="es-ES_tradnl" w:eastAsia="es-ES_tradnl"/>
      </w:rPr>
    </w:pPr>
    <w:r>
      <w:rPr>
        <w:rFonts w:ascii="Book Antiqua" w:hAnsi="Book Antiqua"/>
        <w:b/>
        <w:color w:val="FF0000"/>
      </w:rPr>
      <w:t>Versión Pública creada conforme al Art. 30, relacionado al Art. 6, 24 y 31 de la Ley de Acceso a la Información Pública.</w:t>
    </w:r>
  </w:p>
  <w:p w:rsidR="00261C92" w:rsidRPr="00261C92" w:rsidRDefault="00261C92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1B"/>
    <w:rsid w:val="00007CFB"/>
    <w:rsid w:val="00066ED1"/>
    <w:rsid w:val="00261C92"/>
    <w:rsid w:val="00423163"/>
    <w:rsid w:val="00453DF2"/>
    <w:rsid w:val="004F1E37"/>
    <w:rsid w:val="00655EAD"/>
    <w:rsid w:val="00894164"/>
    <w:rsid w:val="009B0E7D"/>
    <w:rsid w:val="00B347DF"/>
    <w:rsid w:val="00B44372"/>
    <w:rsid w:val="00BC530B"/>
    <w:rsid w:val="00C02C56"/>
    <w:rsid w:val="00CA631B"/>
    <w:rsid w:val="00DF4560"/>
    <w:rsid w:val="00E2303C"/>
    <w:rsid w:val="00F04F36"/>
    <w:rsid w:val="00F2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A6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31B"/>
  </w:style>
  <w:style w:type="paragraph" w:styleId="Textodeglobo">
    <w:name w:val="Balloon Text"/>
    <w:basedOn w:val="Normal"/>
    <w:link w:val="TextodegloboCar"/>
    <w:uiPriority w:val="99"/>
    <w:semiHidden/>
    <w:unhideWhenUsed/>
    <w:rsid w:val="00F0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F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61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A6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31B"/>
  </w:style>
  <w:style w:type="paragraph" w:styleId="Textodeglobo">
    <w:name w:val="Balloon Text"/>
    <w:basedOn w:val="Normal"/>
    <w:link w:val="TextodegloboCar"/>
    <w:uiPriority w:val="99"/>
    <w:semiHidden/>
    <w:unhideWhenUsed/>
    <w:rsid w:val="00F0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F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61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Graciela María Gómez Varela</cp:lastModifiedBy>
  <cp:revision>2</cp:revision>
  <cp:lastPrinted>2017-12-20T20:22:00Z</cp:lastPrinted>
  <dcterms:created xsi:type="dcterms:W3CDTF">2018-06-11T20:33:00Z</dcterms:created>
  <dcterms:modified xsi:type="dcterms:W3CDTF">2018-06-11T20:33:00Z</dcterms:modified>
</cp:coreProperties>
</file>