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84" w:rsidRDefault="00771184" w:rsidP="00771184">
      <w:pPr>
        <w:rPr>
          <w:rFonts w:ascii="Book Antiqua" w:hAnsi="Book Antiqua"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-483235</wp:posOffset>
            </wp:positionV>
            <wp:extent cx="2200275" cy="12941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184" w:rsidRDefault="00771184" w:rsidP="00771184">
      <w:pPr>
        <w:jc w:val="center"/>
        <w:rPr>
          <w:rFonts w:ascii="Book Antiqua" w:hAnsi="Book Antiqua"/>
          <w:sz w:val="24"/>
          <w:szCs w:val="24"/>
        </w:rPr>
      </w:pPr>
    </w:p>
    <w:p w:rsidR="00771184" w:rsidRDefault="00771184" w:rsidP="007711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</w:rPr>
      </w:pPr>
    </w:p>
    <w:p w:rsidR="00771184" w:rsidRDefault="00771184" w:rsidP="007711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RESOLUCIÓN NO. 16/2021</w:t>
      </w:r>
    </w:p>
    <w:p w:rsidR="00771184" w:rsidRDefault="00771184" w:rsidP="007711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  <w:shd w:val="clear" w:color="auto" w:fill="FFFFFF"/>
        </w:rPr>
      </w:pPr>
      <w:r>
        <w:rPr>
          <w:rFonts w:ascii="Book Antiqua" w:hAnsi="Book Antiqua"/>
          <w:sz w:val="28"/>
          <w:szCs w:val="28"/>
          <w:lang w:val="es-ES" w:eastAsia="es-ES"/>
        </w:rPr>
        <w:t xml:space="preserve">En </w:t>
      </w:r>
      <w:r>
        <w:rPr>
          <w:rFonts w:ascii="Book Antiqua" w:hAnsi="Book Antiqua"/>
          <w:sz w:val="28"/>
          <w:szCs w:val="28"/>
        </w:rPr>
        <w:t xml:space="preserve">la Unidad de Acceso a la Información Pública del Ministerio de Gobernación y Desarrollo Territorial: San Salvador, a las ocho horas y dieciséis minutos del día nueve de marzo de dos mil veintiuno. </w:t>
      </w:r>
      <w:r>
        <w:rPr>
          <w:rFonts w:ascii="Book Antiqua" w:hAnsi="Book Antiqua"/>
          <w:b/>
          <w:sz w:val="28"/>
          <w:szCs w:val="28"/>
        </w:rPr>
        <w:t xml:space="preserve">CONSIDERANDO: I. 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Téngase por recibida la solicitud de información, en fecha 19 de enero de dos mil veintiuno, a nombre de </w:t>
      </w:r>
      <w:r>
        <w:rPr>
          <w:rFonts w:ascii="Book Antiqua" w:hAnsi="Book Antiqua"/>
          <w:sz w:val="28"/>
          <w:szCs w:val="28"/>
          <w:lang w:val="es-ES" w:eastAsia="es-ES"/>
        </w:rPr>
        <w:t>//////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, registrada por esta Unidad bajo el correlativo </w:t>
      </w:r>
      <w:r>
        <w:rPr>
          <w:rFonts w:ascii="Book Antiqua" w:hAnsi="Book Antiqua"/>
          <w:b/>
          <w:sz w:val="28"/>
          <w:szCs w:val="28"/>
          <w:lang w:val="es-ES" w:eastAsia="es-ES"/>
        </w:rPr>
        <w:t>MIGOBDT-2020-0006</w:t>
      </w:r>
      <w:r>
        <w:rPr>
          <w:rFonts w:ascii="Book Antiqua" w:hAnsi="Book Antiqua"/>
          <w:sz w:val="28"/>
          <w:szCs w:val="28"/>
          <w:shd w:val="clear" w:color="auto" w:fill="FFFFFF"/>
        </w:rPr>
        <w:t>. I</w:t>
      </w:r>
      <w:r>
        <w:rPr>
          <w:rFonts w:ascii="Book Antiqua" w:hAnsi="Book Antiqua"/>
          <w:b/>
          <w:sz w:val="28"/>
          <w:szCs w:val="28"/>
          <w:shd w:val="clear" w:color="auto" w:fill="FFFFFF"/>
        </w:rPr>
        <w:t>I.</w:t>
      </w:r>
      <w:r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Que conforme al Art. 70 de la Ley de Acceso a la Información Pública, se remite el requerimiento a la Unidad de Adquisiciones y Contrataciones de la Administración Pública, la que  fecha 3 de marzo del presente año, remite la información en su versión pública, de conformidad al Art. 30 de la  citada normativa. </w:t>
      </w:r>
      <w:r>
        <w:rPr>
          <w:rFonts w:ascii="Book Antiqua" w:hAnsi="Book Antiqua"/>
          <w:b/>
          <w:sz w:val="28"/>
          <w:szCs w:val="28"/>
          <w:lang w:eastAsia="es-ES"/>
        </w:rPr>
        <w:t>POR TANTO</w:t>
      </w:r>
      <w:r>
        <w:rPr>
          <w:rFonts w:ascii="Book Antiqua" w:hAnsi="Book Antiqua"/>
          <w:sz w:val="28"/>
          <w:szCs w:val="28"/>
          <w:lang w:eastAsia="es-ES"/>
        </w:rPr>
        <w:t xml:space="preserve">, 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conforme a los Arts. 18, 86 Inciso 3° de la Constitución, Arts. 2, 7, 9, 62, 66 y 70 de la Ley de Acceso a la Información Pública y Arts. 71, 74, 81, 82 Inciso 3° y 96 de la Ley de Procedimientos Administrativos, esta Unidad de Acceso a la Información Pública, </w:t>
      </w:r>
      <w:r>
        <w:rPr>
          <w:rFonts w:ascii="Book Antiqua" w:hAnsi="Book Antiqua"/>
          <w:b/>
          <w:sz w:val="28"/>
          <w:szCs w:val="28"/>
          <w:lang w:val="es-ES" w:eastAsia="es-ES"/>
        </w:rPr>
        <w:t>RESUELVE:</w:t>
      </w:r>
      <w:r>
        <w:rPr>
          <w:rFonts w:ascii="Book Antiqua" w:hAnsi="Book Antiqua"/>
          <w:b/>
          <w:sz w:val="28"/>
          <w:szCs w:val="28"/>
        </w:rPr>
        <w:t xml:space="preserve"> 1°) </w:t>
      </w:r>
      <w:r>
        <w:rPr>
          <w:rFonts w:ascii="Book Antiqua" w:hAnsi="Book Antiqua"/>
          <w:b/>
          <w:sz w:val="28"/>
          <w:szCs w:val="28"/>
          <w:lang w:val="es-ES" w:eastAsia="es-ES"/>
        </w:rPr>
        <w:t xml:space="preserve">Conceder 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el acceso a la información solicitada. </w:t>
      </w:r>
      <w:r>
        <w:rPr>
          <w:rFonts w:ascii="Book Antiqua" w:hAnsi="Book Antiqua"/>
          <w:b/>
          <w:sz w:val="28"/>
          <w:szCs w:val="28"/>
        </w:rPr>
        <w:t xml:space="preserve"> 2°) </w:t>
      </w:r>
      <w:r>
        <w:rPr>
          <w:rFonts w:ascii="Book Antiqua" w:hAnsi="Book Antiqua"/>
          <w:b/>
          <w:sz w:val="28"/>
          <w:szCs w:val="28"/>
          <w:lang w:val="es-ES" w:eastAsia="es-ES"/>
        </w:rPr>
        <w:t xml:space="preserve">Entregar </w:t>
      </w:r>
      <w:r>
        <w:rPr>
          <w:rFonts w:ascii="Book Antiqua" w:hAnsi="Book Antiqua"/>
          <w:sz w:val="28"/>
          <w:szCs w:val="28"/>
          <w:lang w:val="es-ES" w:eastAsia="es-ES"/>
        </w:rPr>
        <w:t>la información por el medio solicitado para tal efecto</w:t>
      </w:r>
      <w:r>
        <w:rPr>
          <w:rFonts w:ascii="Book Antiqua" w:hAnsi="Book Antiqua"/>
          <w:b/>
          <w:sz w:val="28"/>
          <w:szCs w:val="28"/>
          <w:lang w:val="es-ES" w:eastAsia="es-ES"/>
        </w:rPr>
        <w:t xml:space="preserve">. NOTIFÍQUESE.- </w:t>
      </w:r>
    </w:p>
    <w:p w:rsidR="00771184" w:rsidRDefault="00771184" w:rsidP="007711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771184" w:rsidRDefault="00771184" w:rsidP="007711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771184" w:rsidRDefault="00771184" w:rsidP="007711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771184" w:rsidRDefault="00771184" w:rsidP="007711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771184" w:rsidRDefault="00771184" w:rsidP="0077118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Jenni Vanessa Quintanilla García</w:t>
      </w:r>
    </w:p>
    <w:p w:rsidR="00771184" w:rsidRDefault="00771184" w:rsidP="0077118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Oficial de Información Ad- honorem  </w:t>
      </w:r>
    </w:p>
    <w:p w:rsidR="00771184" w:rsidRDefault="00771184" w:rsidP="00771184"/>
    <w:p w:rsidR="00DD3B70" w:rsidRPr="00771184" w:rsidRDefault="00771184">
      <w:pPr>
        <w:rPr>
          <w:color w:val="FF0000"/>
        </w:rPr>
      </w:pPr>
      <w:bookmarkStart w:id="0" w:name="_GoBack"/>
      <w:r w:rsidRPr="00771184">
        <w:rPr>
          <w:rFonts w:ascii="Book Antiqua" w:hAnsi="Book Antiqua" w:cs="Helvetica"/>
          <w:b/>
          <w:color w:val="FF0000"/>
          <w:shd w:val="clear" w:color="auto" w:fill="FFFFFF"/>
        </w:rPr>
        <w:t>NOTA: la versión de esta resolución reguarda los datos que se consideran confidenciales, de conformidad al Art. 30 de la Ley de Acceso a la Información Pública</w:t>
      </w:r>
      <w:bookmarkEnd w:id="0"/>
    </w:p>
    <w:sectPr w:rsidR="00DD3B70" w:rsidRPr="0077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84"/>
    <w:rsid w:val="00771184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2021-05-20T19:54:00Z</dcterms:created>
  <dcterms:modified xsi:type="dcterms:W3CDTF">2021-05-20T19:58:00Z</dcterms:modified>
</cp:coreProperties>
</file>