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4F" w:rsidRDefault="00DE194F" w:rsidP="00DE194F">
      <w:pPr>
        <w:spacing w:after="0"/>
        <w:jc w:val="center"/>
        <w:rPr>
          <w:rFonts w:ascii="Book Antiqua" w:hAnsi="Book Antiqua"/>
          <w:b/>
          <w:sz w:val="24"/>
          <w:szCs w:val="24"/>
        </w:rPr>
      </w:pPr>
      <w:r>
        <w:rPr>
          <w:noProof/>
          <w:lang w:eastAsia="es-SV"/>
        </w:rPr>
        <w:drawing>
          <wp:anchor distT="0" distB="0" distL="114300" distR="114300" simplePos="0" relativeHeight="251659264" behindDoc="1" locked="0" layoutInCell="1" allowOverlap="1" wp14:anchorId="72C6BBD7" wp14:editId="4D210F8E">
            <wp:simplePos x="0" y="0"/>
            <wp:positionH relativeFrom="column">
              <wp:posOffset>1593850</wp:posOffset>
            </wp:positionH>
            <wp:positionV relativeFrom="paragraph">
              <wp:posOffset>92710</wp:posOffset>
            </wp:positionV>
            <wp:extent cx="2615565" cy="11296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5565" cy="1129665"/>
                    </a:xfrm>
                    <a:prstGeom prst="rect">
                      <a:avLst/>
                    </a:prstGeom>
                    <a:noFill/>
                  </pic:spPr>
                </pic:pic>
              </a:graphicData>
            </a:graphic>
            <wp14:sizeRelH relativeFrom="page">
              <wp14:pctWidth>0</wp14:pctWidth>
            </wp14:sizeRelH>
            <wp14:sizeRelV relativeFrom="page">
              <wp14:pctHeight>0</wp14:pctHeight>
            </wp14:sizeRelV>
          </wp:anchor>
        </w:drawing>
      </w:r>
    </w:p>
    <w:p w:rsidR="00DE194F" w:rsidRDefault="00DE194F" w:rsidP="00DE194F">
      <w:pPr>
        <w:spacing w:after="0"/>
        <w:jc w:val="center"/>
        <w:rPr>
          <w:rFonts w:ascii="Book Antiqua" w:hAnsi="Book Antiqua"/>
          <w:b/>
          <w:sz w:val="24"/>
          <w:szCs w:val="24"/>
        </w:rPr>
      </w:pPr>
    </w:p>
    <w:p w:rsidR="00DE194F" w:rsidRDefault="00DE194F" w:rsidP="00DE194F">
      <w:pPr>
        <w:spacing w:after="0"/>
        <w:jc w:val="center"/>
        <w:rPr>
          <w:rFonts w:ascii="Book Antiqua" w:hAnsi="Book Antiqua"/>
          <w:b/>
          <w:sz w:val="24"/>
          <w:szCs w:val="24"/>
        </w:rPr>
      </w:pPr>
    </w:p>
    <w:p w:rsidR="00DE194F" w:rsidRDefault="00DE194F" w:rsidP="00DE194F">
      <w:pPr>
        <w:spacing w:after="0"/>
        <w:jc w:val="center"/>
        <w:rPr>
          <w:rFonts w:ascii="Book Antiqua" w:hAnsi="Book Antiqua"/>
          <w:b/>
          <w:sz w:val="24"/>
          <w:szCs w:val="24"/>
        </w:rPr>
      </w:pPr>
    </w:p>
    <w:p w:rsidR="00DE194F" w:rsidRDefault="00DE194F" w:rsidP="00DE194F">
      <w:pPr>
        <w:spacing w:after="0"/>
        <w:jc w:val="center"/>
        <w:rPr>
          <w:rFonts w:ascii="Book Antiqua" w:hAnsi="Book Antiqua"/>
          <w:b/>
          <w:sz w:val="24"/>
          <w:szCs w:val="24"/>
        </w:rPr>
      </w:pPr>
    </w:p>
    <w:p w:rsidR="00DE194F" w:rsidRDefault="00DE194F" w:rsidP="00DE194F">
      <w:pPr>
        <w:spacing w:after="0"/>
        <w:jc w:val="center"/>
        <w:rPr>
          <w:rFonts w:ascii="Book Antiqua" w:hAnsi="Book Antiqua"/>
          <w:sz w:val="24"/>
          <w:szCs w:val="24"/>
        </w:rPr>
      </w:pPr>
    </w:p>
    <w:p w:rsidR="00DE194F" w:rsidRDefault="00DE194F" w:rsidP="00DE194F">
      <w:pPr>
        <w:spacing w:after="0"/>
        <w:jc w:val="center"/>
        <w:rPr>
          <w:rFonts w:ascii="Book Antiqua" w:hAnsi="Book Antiqua"/>
          <w:b/>
        </w:rPr>
      </w:pPr>
      <w:r>
        <w:rPr>
          <w:rFonts w:ascii="Book Antiqua" w:hAnsi="Book Antiqua"/>
          <w:b/>
        </w:rPr>
        <w:t>RESOLUCIÓN NO.36-2021</w:t>
      </w:r>
    </w:p>
    <w:p w:rsidR="00DE194F" w:rsidRDefault="00DE194F" w:rsidP="00DE194F">
      <w:pPr>
        <w:spacing w:after="0"/>
        <w:jc w:val="center"/>
        <w:rPr>
          <w:rFonts w:ascii="Book Antiqua" w:hAnsi="Book Antiqua"/>
          <w:b/>
        </w:rPr>
      </w:pPr>
    </w:p>
    <w:p w:rsidR="00DE194F" w:rsidRPr="00861A7B" w:rsidRDefault="00DE194F" w:rsidP="00DE194F">
      <w:pPr>
        <w:spacing w:line="240" w:lineRule="auto"/>
        <w:jc w:val="both"/>
        <w:rPr>
          <w:rFonts w:ascii="Book Antiqua" w:hAnsi="Book Antiqua"/>
          <w:i/>
          <w:lang w:eastAsia="es-ES"/>
        </w:rPr>
      </w:pPr>
      <w:r>
        <w:rPr>
          <w:rFonts w:ascii="Book Antiqua" w:hAnsi="Book Antiqua"/>
          <w:lang w:val="es-ES" w:eastAsia="es-ES"/>
        </w:rPr>
        <w:t xml:space="preserve">En </w:t>
      </w:r>
      <w:r>
        <w:rPr>
          <w:rFonts w:ascii="Book Antiqua" w:hAnsi="Book Antiqua"/>
        </w:rPr>
        <w:t xml:space="preserve">la Unidad de Acceso a la Información Pública del Ministerio de Gobernación y Desarrollo Territorial: San Salvador, a las diez horas y veintidós minutos del día 22 de abril de 2021. </w:t>
      </w:r>
      <w:r>
        <w:rPr>
          <w:rFonts w:ascii="Book Antiqua" w:hAnsi="Book Antiqua"/>
          <w:b/>
        </w:rPr>
        <w:t xml:space="preserve">CONSIDERANDO: I) </w:t>
      </w:r>
      <w:r>
        <w:rPr>
          <w:rFonts w:ascii="Book Antiqua" w:hAnsi="Book Antiqua"/>
        </w:rPr>
        <w:t xml:space="preserve">Que en fecha 9 de febrero de 2021, el señor  </w:t>
      </w:r>
      <w:r>
        <w:rPr>
          <w:rFonts w:ascii="Book Antiqua" w:hAnsi="Book Antiqua"/>
        </w:rPr>
        <w:t>****</w:t>
      </w:r>
      <w:r>
        <w:rPr>
          <w:rFonts w:ascii="Book Antiqua" w:hAnsi="Book Antiqua"/>
        </w:rPr>
        <w:t xml:space="preserve">, se presentó ante esta Unidad a  solicitar: “Copia de Acta de Constitución de la Fundación de Educación Arte y Cultura (FINDEAC), copia de lista de miembros fundadores” </w:t>
      </w:r>
      <w:r>
        <w:rPr>
          <w:rFonts w:ascii="Book Antiqua" w:hAnsi="Book Antiqua"/>
          <w:b/>
        </w:rPr>
        <w:t>II)</w:t>
      </w:r>
      <w:r>
        <w:rPr>
          <w:rFonts w:ascii="Book Antiqua" w:hAnsi="Book Antiqua"/>
        </w:rPr>
        <w:t xml:space="preserve"> Que dicha solicitud cumple con los requisitos establecidos en el Art. 66 de la Ley de Acceso a la Información Pública (LAIP), por lo que con base al Art. 70 de la LAIP, se trasmitió la información a la unidad administrativa que la pueda poseer, siendo la Dirección del Registro de Asociaciones y Fundaciones Sin Fines de Lucro. </w:t>
      </w:r>
      <w:r>
        <w:rPr>
          <w:rFonts w:ascii="Book Antiqua" w:hAnsi="Book Antiqua"/>
          <w:b/>
        </w:rPr>
        <w:t>III)</w:t>
      </w:r>
      <w:r>
        <w:rPr>
          <w:rFonts w:ascii="Book Antiqua" w:hAnsi="Book Antiqua"/>
        </w:rPr>
        <w:t xml:space="preserve"> Que en fecha 21 de abril del presente año, la mencionada unidad administrativa, remitió memorando referencia: RAFSL-MIGOBDT-025/2020/CM,  en la que se expresa: </w:t>
      </w:r>
      <w:r>
        <w:rPr>
          <w:rFonts w:ascii="Book Antiqua" w:hAnsi="Book Antiqua"/>
          <w:i/>
        </w:rPr>
        <w:t>“(…) sobre el particular le informo que los referidos documentos se encuentran en trámite de obtención de personalidad jurídica presentados el 10 de febrero del corriente año por lo que están como información reservada de conformidad al numeral 25 del índice de información reservada MIGOBDT, no pudiendo extender lo solicitado.”</w:t>
      </w:r>
      <w:r>
        <w:rPr>
          <w:rFonts w:ascii="Book Antiqua" w:hAnsi="Book Antiqua"/>
        </w:rPr>
        <w:t xml:space="preserve"> </w:t>
      </w:r>
      <w:r>
        <w:rPr>
          <w:rFonts w:ascii="Book Antiqua" w:hAnsi="Book Antiqua"/>
          <w:b/>
        </w:rPr>
        <w:t>IV)</w:t>
      </w:r>
      <w:r>
        <w:rPr>
          <w:rFonts w:ascii="Book Antiqua" w:hAnsi="Book Antiqua"/>
          <w:i/>
        </w:rPr>
        <w:t xml:space="preserve"> </w:t>
      </w:r>
      <w:r>
        <w:rPr>
          <w:rFonts w:ascii="Book Antiqua" w:hAnsi="Book Antiqua"/>
        </w:rPr>
        <w:t>Que</w:t>
      </w:r>
      <w:r>
        <w:rPr>
          <w:rFonts w:ascii="Book Antiqua" w:hAnsi="Book Antiqua"/>
          <w:i/>
        </w:rPr>
        <w:t xml:space="preserve"> </w:t>
      </w:r>
      <w:r>
        <w:rPr>
          <w:rFonts w:ascii="Book Antiqua" w:hAnsi="Book Antiqua"/>
          <w:lang w:eastAsia="es-ES"/>
        </w:rPr>
        <w:t xml:space="preserve">tal como lo expresa la Dirección, se encuentran en trámite y por tanto no se pueden extender al solicitante. Siendo el fundamento de tal decisión el siguiente: 1°) Que dicha información se encuentra clasificada como reservada dado que cumple con la descripción detallada en el Acuerdo Ministerial Número Ciento Cuarenta y Cuatro de fecha doce de diciembre de dos mil diecisiete, Considerando V, Ítem 25: </w:t>
      </w:r>
      <w:r w:rsidRPr="00597230">
        <w:rPr>
          <w:rFonts w:ascii="Book Antiqua" w:hAnsi="Book Antiqua"/>
          <w:i/>
          <w:lang w:eastAsia="es-ES"/>
        </w:rPr>
        <w:t>“</w:t>
      </w:r>
      <w:r w:rsidRPr="00597230">
        <w:rPr>
          <w:rFonts w:ascii="Times New Roman" w:eastAsia="Times New Roman" w:hAnsi="Times New Roman" w:cs="Times New Roman"/>
          <w:i/>
          <w:sz w:val="20"/>
          <w:szCs w:val="20"/>
        </w:rPr>
        <w:t>Expedientes Jurídicos en proceso de otorgamiento de Personalidad Jurídica, de reforma de estatutos, de Disolución y de Liquidación de Asociaciones y Fundaciones Sin Fines de Lucro, hasta su inscripción o resolución definitiva en su caso.”</w:t>
      </w:r>
      <w:r>
        <w:rPr>
          <w:rFonts w:ascii="Book Antiqua" w:hAnsi="Book Antiqua"/>
        </w:rPr>
        <w:t xml:space="preserve">, siendo el tiempo en el que permanece en dicha clasificación dos años, desde el momento de la presentación ante el Registro, por lo se manifiesta la </w:t>
      </w:r>
      <w:r>
        <w:rPr>
          <w:rFonts w:ascii="Book Antiqua" w:hAnsi="Book Antiqua"/>
          <w:b/>
        </w:rPr>
        <w:t>temporalidad</w:t>
      </w:r>
      <w:r>
        <w:rPr>
          <w:rFonts w:ascii="Book Antiqua" w:hAnsi="Book Antiqua"/>
        </w:rPr>
        <w:t xml:space="preserve"> de la reserva, así también, la justificación legal es la establecida en el Art. 19 letra “e” de la Ley de Acceso a la Información Pública: “</w:t>
      </w:r>
      <w:r>
        <w:rPr>
          <w:rFonts w:ascii="Book Antiqua" w:hAnsi="Book Antiqua"/>
          <w:b/>
          <w:i/>
        </w:rPr>
        <w:t>Es información reservada: e) la que contenga opiniones o recomendaciones que formen parte del proceso deliberativo de los servidores públicos, en tanto no sea adoptada decisión definitiva”.</w:t>
      </w:r>
      <w:r>
        <w:rPr>
          <w:rFonts w:ascii="Book Antiqua" w:hAnsi="Book Antiqua"/>
        </w:rPr>
        <w:t xml:space="preserve"> En ese sentido la clasificación de dicha información observa la característica de </w:t>
      </w:r>
      <w:r>
        <w:rPr>
          <w:rFonts w:ascii="Book Antiqua" w:hAnsi="Book Antiqua"/>
          <w:b/>
          <w:i/>
        </w:rPr>
        <w:t>legalidad</w:t>
      </w:r>
      <w:r>
        <w:rPr>
          <w:rFonts w:ascii="Book Antiqua" w:hAnsi="Book Antiqua"/>
          <w:i/>
        </w:rPr>
        <w:t>,</w:t>
      </w:r>
      <w:r>
        <w:rPr>
          <w:rFonts w:ascii="Book Antiqua" w:hAnsi="Book Antiqua"/>
          <w:b/>
        </w:rPr>
        <w:t xml:space="preserve"> </w:t>
      </w:r>
      <w:r>
        <w:rPr>
          <w:rFonts w:ascii="Book Antiqua" w:hAnsi="Book Antiqua"/>
        </w:rPr>
        <w:t>dado que</w:t>
      </w:r>
      <w:r>
        <w:rPr>
          <w:rFonts w:ascii="Book Antiqua" w:hAnsi="Book Antiqua"/>
          <w:b/>
        </w:rPr>
        <w:t xml:space="preserve"> </w:t>
      </w:r>
      <w:r>
        <w:rPr>
          <w:rFonts w:ascii="Book Antiqua" w:hAnsi="Book Antiqua"/>
        </w:rPr>
        <w:t>la institución en</w:t>
      </w:r>
      <w:r>
        <w:rPr>
          <w:rFonts w:ascii="Book Antiqua" w:hAnsi="Book Antiqua"/>
          <w:b/>
        </w:rPr>
        <w:t xml:space="preserve"> </w:t>
      </w:r>
      <w:r>
        <w:rPr>
          <w:rFonts w:ascii="Book Antiqua" w:hAnsi="Book Antiqua"/>
        </w:rPr>
        <w:t>el ejercicio legítimo</w:t>
      </w:r>
      <w:r>
        <w:rPr>
          <w:rFonts w:ascii="Book Antiqua" w:hAnsi="Book Antiqua"/>
          <w:b/>
        </w:rPr>
        <w:t xml:space="preserve"> </w:t>
      </w:r>
      <w:r>
        <w:rPr>
          <w:rFonts w:ascii="Book Antiqua" w:hAnsi="Book Antiqua"/>
          <w:color w:val="000000"/>
          <w:lang w:val="es-ES" w:eastAsia="es-ES" w:bidi="es-ES"/>
        </w:rPr>
        <w:t xml:space="preserve">de su facultad para reservar una información la enmarcar dentro del ordenamiento legal vigente, hecho que se justifica con la relacionada normativa. 2°) La restricción que se ha establecido relacionada a la información se basa en que aún no es oficial, es decir, no se ha emitido resolución al respecto, y en ese proceso deliberativo pueden surgir observaciones que deben atenderse por parte de los interesados e interesadas. </w:t>
      </w:r>
      <w:r>
        <w:rPr>
          <w:rFonts w:ascii="Book Antiqua" w:hAnsi="Book Antiqua"/>
          <w:b/>
          <w:lang w:val="es-ES" w:eastAsia="es-ES" w:bidi="es-ES"/>
        </w:rPr>
        <w:t xml:space="preserve">V) </w:t>
      </w:r>
      <w:r>
        <w:rPr>
          <w:rFonts w:ascii="Book Antiqua" w:hAnsi="Book Antiqua"/>
          <w:lang w:eastAsia="es-ES"/>
        </w:rPr>
        <w:t xml:space="preserve">Que dadas las citadas razones, conforme a los criterios establecidos por el Instituto de Acceso a la Información Pública, en reiteradas resoluciones, la documentación relacionada en el párrafo precedente cumple con los requisitos de </w:t>
      </w:r>
      <w:r>
        <w:rPr>
          <w:rFonts w:ascii="Book Antiqua" w:hAnsi="Book Antiqua"/>
          <w:b/>
          <w:lang w:eastAsia="es-ES"/>
        </w:rPr>
        <w:t>legalidad, razonabilidad y temporalidad</w:t>
      </w:r>
      <w:r>
        <w:rPr>
          <w:rFonts w:ascii="Book Antiqua" w:hAnsi="Book Antiqua"/>
          <w:lang w:eastAsia="es-ES"/>
        </w:rPr>
        <w:t xml:space="preserve">. (Resolución Ref. </w:t>
      </w:r>
      <w:r>
        <w:rPr>
          <w:rFonts w:ascii="Book Antiqua" w:hAnsi="Book Antiqua"/>
          <w:color w:val="000000"/>
          <w:lang w:val="es-ES" w:eastAsia="es-ES" w:bidi="es-ES"/>
        </w:rPr>
        <w:t xml:space="preserve">NUE 10-ADP-2016 del 16 de noviembre de 2016; Resolución Ref. </w:t>
      </w:r>
      <w:r>
        <w:rPr>
          <w:rFonts w:ascii="Book Antiqua" w:hAnsi="Book Antiqua"/>
        </w:rPr>
        <w:t xml:space="preserve">NUE 184-A-2017 del 12 de diciembre de 2017 y NUE </w:t>
      </w:r>
      <w:r>
        <w:rPr>
          <w:rFonts w:ascii="Book Antiqua" w:hAnsi="Book Antiqua"/>
        </w:rPr>
        <w:lastRenderedPageBreak/>
        <w:t xml:space="preserve">228-A-2017 del 29 de noviembre de 2017) por lo que la clasificación de reserva se encuentra justificada. </w:t>
      </w:r>
      <w:r>
        <w:rPr>
          <w:rFonts w:ascii="Book Antiqua" w:hAnsi="Book Antiqua"/>
          <w:b/>
          <w:lang w:eastAsia="es-ES"/>
        </w:rPr>
        <w:t>POR TANTO</w:t>
      </w:r>
      <w:r>
        <w:rPr>
          <w:rFonts w:ascii="Book Antiqua" w:hAnsi="Book Antiqua"/>
          <w:lang w:eastAsia="es-ES"/>
        </w:rPr>
        <w:t xml:space="preserve">, </w:t>
      </w:r>
      <w:r>
        <w:rPr>
          <w:rFonts w:ascii="Book Antiqua" w:hAnsi="Book Antiqua"/>
          <w:lang w:val="es-ES" w:eastAsia="es-ES"/>
        </w:rPr>
        <w:t xml:space="preserve">conforme a los Arts. 18, 86 Inciso 3° de la Constitución, Arts. 2, 7, 9, 10, 19, 24, 50, 62, 66, 70 y 72 de la Ley de Acceso a la Información Pública, 19 y 53 de su Reglamento, y Arts. 71, 74, 81, 82 Inciso 3° y 96 de la Ley de Procedimientos Administrativos, y dejando abierta la posibilidad del solicitante de hacer uso del derecho a recurrir, esta Unidad de Acceso a la Información Pública, </w:t>
      </w:r>
      <w:r>
        <w:rPr>
          <w:rFonts w:ascii="Book Antiqua" w:hAnsi="Book Antiqua"/>
          <w:b/>
          <w:lang w:val="es-ES" w:eastAsia="es-ES"/>
        </w:rPr>
        <w:t xml:space="preserve">RESUELVE: 1°) Negar </w:t>
      </w:r>
      <w:r>
        <w:rPr>
          <w:rFonts w:ascii="Book Antiqua" w:hAnsi="Book Antiqua"/>
          <w:lang w:val="es-ES" w:eastAsia="es-ES"/>
        </w:rPr>
        <w:t xml:space="preserve">el acceso  a la información en base a clasificación de información reservada. </w:t>
      </w:r>
      <w:r>
        <w:rPr>
          <w:rFonts w:ascii="Book Antiqua" w:hAnsi="Book Antiqua"/>
          <w:b/>
          <w:lang w:eastAsia="es-ES"/>
        </w:rPr>
        <w:t>2°)</w:t>
      </w:r>
      <w:r>
        <w:rPr>
          <w:rFonts w:ascii="Book Antiqua" w:hAnsi="Book Antiqua"/>
          <w:b/>
          <w:lang w:val="es-ES" w:eastAsia="es-ES"/>
        </w:rPr>
        <w:t xml:space="preserve"> </w:t>
      </w:r>
      <w:r>
        <w:rPr>
          <w:rFonts w:ascii="Book Antiqua" w:hAnsi="Book Antiqua"/>
          <w:lang w:val="es-ES" w:eastAsia="es-ES"/>
        </w:rPr>
        <w:t>Hacer saber al solicitante que puede recurrir de la presente resolución.</w:t>
      </w:r>
      <w:r>
        <w:rPr>
          <w:rFonts w:ascii="Book Antiqua" w:hAnsi="Book Antiqua"/>
          <w:b/>
          <w:lang w:val="es-ES" w:eastAsia="es-ES"/>
        </w:rPr>
        <w:t xml:space="preserve"> NOTIFÍQUESE.</w:t>
      </w:r>
    </w:p>
    <w:p w:rsidR="00DE194F" w:rsidRDefault="00DE194F" w:rsidP="00DE194F">
      <w:pPr>
        <w:spacing w:after="0"/>
        <w:jc w:val="both"/>
        <w:rPr>
          <w:rFonts w:ascii="Book Antiqua" w:hAnsi="Book Antiqua"/>
          <w:b/>
          <w:lang w:eastAsia="es-ES"/>
        </w:rPr>
      </w:pPr>
    </w:p>
    <w:p w:rsidR="00DE194F" w:rsidRDefault="00DE194F" w:rsidP="00DE194F">
      <w:pPr>
        <w:spacing w:after="0"/>
        <w:jc w:val="both"/>
        <w:rPr>
          <w:rFonts w:ascii="Book Antiqua" w:hAnsi="Book Antiqua"/>
          <w:b/>
          <w:lang w:eastAsia="es-ES"/>
        </w:rPr>
      </w:pPr>
    </w:p>
    <w:p w:rsidR="00DE194F" w:rsidRDefault="00DE194F" w:rsidP="00DE194F">
      <w:pPr>
        <w:spacing w:after="0"/>
        <w:jc w:val="both"/>
        <w:rPr>
          <w:rFonts w:ascii="Book Antiqua" w:hAnsi="Book Antiqua"/>
          <w:b/>
          <w:lang w:eastAsia="es-ES"/>
        </w:rPr>
      </w:pPr>
    </w:p>
    <w:p w:rsidR="00DE194F" w:rsidRDefault="00DE194F" w:rsidP="00DE194F">
      <w:pPr>
        <w:spacing w:after="0"/>
        <w:jc w:val="both"/>
        <w:rPr>
          <w:rFonts w:ascii="Book Antiqua" w:hAnsi="Book Antiqua"/>
          <w:b/>
          <w:lang w:eastAsia="es-ES"/>
        </w:rPr>
      </w:pPr>
    </w:p>
    <w:p w:rsidR="00DE194F" w:rsidRDefault="00DE194F" w:rsidP="00DE194F">
      <w:pPr>
        <w:spacing w:after="0"/>
        <w:jc w:val="both"/>
        <w:rPr>
          <w:rFonts w:ascii="Book Antiqua" w:hAnsi="Book Antiqua"/>
          <w:b/>
          <w:lang w:eastAsia="es-ES"/>
        </w:rPr>
      </w:pPr>
    </w:p>
    <w:p w:rsidR="00DE194F" w:rsidRDefault="00DE194F" w:rsidP="00DE194F">
      <w:pPr>
        <w:spacing w:after="0"/>
        <w:jc w:val="center"/>
        <w:rPr>
          <w:rFonts w:ascii="Book Antiqua" w:hAnsi="Book Antiqua" w:cs="Helvetica"/>
          <w:b/>
          <w:shd w:val="clear" w:color="auto" w:fill="FFFFFF"/>
        </w:rPr>
      </w:pPr>
      <w:r>
        <w:rPr>
          <w:rFonts w:ascii="Book Antiqua" w:hAnsi="Book Antiqua" w:cs="Helvetica"/>
          <w:b/>
          <w:shd w:val="clear" w:color="auto" w:fill="FFFFFF"/>
        </w:rPr>
        <w:t xml:space="preserve"> JENNI VANESSA QUINTANILLA GARCÍA</w:t>
      </w:r>
    </w:p>
    <w:p w:rsidR="00DE194F" w:rsidRDefault="00DE194F" w:rsidP="00DE194F">
      <w:pPr>
        <w:spacing w:after="0"/>
        <w:jc w:val="center"/>
        <w:rPr>
          <w:rFonts w:ascii="Book Antiqua" w:hAnsi="Book Antiqua" w:cs="Helvetica"/>
          <w:b/>
          <w:shd w:val="clear" w:color="auto" w:fill="FFFFFF"/>
        </w:rPr>
      </w:pPr>
      <w:r>
        <w:rPr>
          <w:rFonts w:ascii="Book Antiqua" w:hAnsi="Book Antiqua" w:cs="Helvetica"/>
          <w:b/>
          <w:shd w:val="clear" w:color="auto" w:fill="FFFFFF"/>
        </w:rPr>
        <w:t>OFICIAL DE INFORMACIÓN AD-HONOREM</w:t>
      </w:r>
    </w:p>
    <w:p w:rsidR="00DE194F" w:rsidRDefault="00DE194F" w:rsidP="00DE194F">
      <w:pPr>
        <w:spacing w:after="0"/>
        <w:jc w:val="center"/>
        <w:rPr>
          <w:rFonts w:ascii="Book Antiqua" w:hAnsi="Book Antiqua" w:cs="Helvetica"/>
          <w:b/>
          <w:shd w:val="clear" w:color="auto" w:fill="FFFFFF"/>
        </w:rPr>
      </w:pPr>
    </w:p>
    <w:p w:rsidR="00DE194F" w:rsidRDefault="00DE194F" w:rsidP="00DE194F">
      <w:pPr>
        <w:spacing w:after="0"/>
        <w:jc w:val="center"/>
        <w:rPr>
          <w:rFonts w:ascii="Book Antiqua" w:hAnsi="Book Antiqua" w:cs="Helvetica"/>
          <w:b/>
          <w:shd w:val="clear" w:color="auto" w:fill="FFFFFF"/>
        </w:rPr>
      </w:pPr>
      <w:bookmarkStart w:id="0" w:name="_GoBack"/>
      <w:bookmarkEnd w:id="0"/>
    </w:p>
    <w:p w:rsidR="00DE194F" w:rsidRPr="0022486B" w:rsidRDefault="00DE194F" w:rsidP="00DE194F">
      <w:pPr>
        <w:spacing w:after="0"/>
        <w:jc w:val="center"/>
        <w:rPr>
          <w:rFonts w:ascii="Book Antiqua" w:hAnsi="Book Antiqua" w:cs="Helvetica"/>
          <w:b/>
          <w:shd w:val="clear" w:color="auto" w:fill="FFFFFF"/>
        </w:rPr>
      </w:pPr>
      <w:r w:rsidRPr="00513926">
        <w:rPr>
          <w:rFonts w:ascii="Book Antiqua" w:hAnsi="Book Antiqua" w:cs="Helvetica"/>
          <w:b/>
          <w:color w:val="FF0000"/>
          <w:shd w:val="clear" w:color="auto" w:fill="FFFFFF"/>
        </w:rPr>
        <w:t xml:space="preserve">NOTA: la versión de esta resolución reguarda los datos que se consideran confidenciales, de conformidad al Art. 30 de la Ley de Acceso a la Información Pública </w:t>
      </w:r>
    </w:p>
    <w:p w:rsidR="00DE194F" w:rsidRDefault="00DE194F" w:rsidP="00DE194F"/>
    <w:p w:rsidR="00DD3B70" w:rsidRDefault="002E5DC0"/>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4F"/>
    <w:rsid w:val="002E5DC0"/>
    <w:rsid w:val="00876156"/>
    <w:rsid w:val="00DE194F"/>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666</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2021-05-28T20:56:00Z</dcterms:created>
  <dcterms:modified xsi:type="dcterms:W3CDTF">2021-05-28T21:07:00Z</dcterms:modified>
</cp:coreProperties>
</file>