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06" w:rsidRDefault="007C3F06"/>
    <w:p w:rsidR="006A5065" w:rsidRPr="00132239" w:rsidRDefault="006A5065" w:rsidP="006A5065">
      <w:pPr>
        <w:tabs>
          <w:tab w:val="left" w:pos="1405"/>
        </w:tabs>
        <w:spacing w:after="0" w:line="240" w:lineRule="auto"/>
        <w:rPr>
          <w:rFonts w:ascii="Times New Roman" w:eastAsia="Times New Roman" w:hAnsi="Times New Roman" w:cs="Times New Roman"/>
          <w:sz w:val="24"/>
          <w:szCs w:val="24"/>
          <w:lang w:val="es-ES" w:eastAsia="es-ES"/>
        </w:rPr>
      </w:pPr>
      <w:r w:rsidRPr="00132239">
        <w:rPr>
          <w:rFonts w:ascii="Times New Roman" w:eastAsia="Times New Roman" w:hAnsi="Times New Roman" w:cs="Times New Roman"/>
          <w:noProof/>
          <w:sz w:val="24"/>
          <w:szCs w:val="24"/>
          <w:lang w:eastAsia="es-SV"/>
        </w:rPr>
        <w:drawing>
          <wp:inline distT="0" distB="0" distL="0" distR="0" wp14:anchorId="667B1D2B" wp14:editId="1C1AF25C">
            <wp:extent cx="2527069" cy="7239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7069" cy="723900"/>
                    </a:xfrm>
                    <a:prstGeom prst="rect">
                      <a:avLst/>
                    </a:prstGeom>
                    <a:noFill/>
                    <a:ln>
                      <a:noFill/>
                    </a:ln>
                  </pic:spPr>
                </pic:pic>
              </a:graphicData>
            </a:graphic>
          </wp:inline>
        </w:drawing>
      </w:r>
      <w:r w:rsidRPr="00132239">
        <w:rPr>
          <w:rFonts w:ascii="Times New Roman" w:eastAsia="Times New Roman" w:hAnsi="Times New Roman" w:cs="Times New Roman"/>
          <w:sz w:val="24"/>
          <w:szCs w:val="24"/>
          <w:lang w:val="es-ES" w:eastAsia="es-ES"/>
        </w:rPr>
        <w:t xml:space="preserve">                                  </w:t>
      </w:r>
      <w:r w:rsidRPr="00132239">
        <w:rPr>
          <w:rFonts w:ascii="Times New Roman" w:eastAsia="Times New Roman" w:hAnsi="Times New Roman" w:cs="Times New Roman"/>
          <w:noProof/>
          <w:sz w:val="24"/>
          <w:szCs w:val="24"/>
          <w:lang w:eastAsia="es-SV"/>
        </w:rPr>
        <w:drawing>
          <wp:inline distT="0" distB="0" distL="0" distR="0" wp14:anchorId="50D070F0" wp14:editId="678985E5">
            <wp:extent cx="1751587" cy="638175"/>
            <wp:effectExtent l="0" t="0" r="1270" b="0"/>
            <wp:docPr id="2" name="Imagen 2" descr="LogotipoNuevoCOAMSS-OPAMS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NuevoCOAMSS-OPAMSS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1587" cy="638175"/>
                    </a:xfrm>
                    <a:prstGeom prst="rect">
                      <a:avLst/>
                    </a:prstGeom>
                    <a:noFill/>
                    <a:ln>
                      <a:noFill/>
                    </a:ln>
                  </pic:spPr>
                </pic:pic>
              </a:graphicData>
            </a:graphic>
          </wp:inline>
        </w:drawing>
      </w:r>
    </w:p>
    <w:p w:rsidR="006A5065" w:rsidRDefault="006A5065" w:rsidP="006A5065">
      <w:pPr>
        <w:rPr>
          <w:rFonts w:ascii="Century Gothic" w:hAnsi="Century Gothic"/>
        </w:rPr>
      </w:pPr>
    </w:p>
    <w:p w:rsidR="006A5065" w:rsidRDefault="006A5065" w:rsidP="006A5065">
      <w:pPr>
        <w:rPr>
          <w:rFonts w:ascii="Century Gothic" w:hAnsi="Century Gothic"/>
        </w:rPr>
      </w:pPr>
    </w:p>
    <w:p w:rsidR="006A5065" w:rsidRDefault="006A5065" w:rsidP="006A5065">
      <w:pPr>
        <w:pStyle w:val="Sinespaciado"/>
        <w:jc w:val="center"/>
        <w:rPr>
          <w:rFonts w:ascii="Century Gothic" w:hAnsi="Century Gothic"/>
          <w:b/>
          <w:w w:val="90"/>
          <w:sz w:val="24"/>
          <w:szCs w:val="24"/>
        </w:rPr>
      </w:pPr>
    </w:p>
    <w:p w:rsidR="006A5065" w:rsidRPr="00776456" w:rsidRDefault="006A5065" w:rsidP="006A5065">
      <w:pPr>
        <w:pStyle w:val="Sinespaciado"/>
        <w:jc w:val="center"/>
        <w:rPr>
          <w:rFonts w:ascii="Century Gothic" w:hAnsi="Century Gothic"/>
          <w:b/>
          <w:w w:val="90"/>
          <w:sz w:val="24"/>
          <w:szCs w:val="24"/>
        </w:rPr>
      </w:pPr>
      <w:r w:rsidRPr="00776456">
        <w:rPr>
          <w:rFonts w:ascii="Century Gothic" w:hAnsi="Century Gothic"/>
          <w:b/>
          <w:w w:val="90"/>
          <w:sz w:val="24"/>
          <w:szCs w:val="24"/>
        </w:rPr>
        <w:t>CONSEJO DE ALCALDES DEL ÁREA METROPOLITANA DE SAN SALVADOR (COAMSS)</w:t>
      </w:r>
    </w:p>
    <w:p w:rsidR="006A5065" w:rsidRDefault="006A5065" w:rsidP="006A5065">
      <w:pPr>
        <w:pStyle w:val="Sinespaciado"/>
        <w:jc w:val="center"/>
        <w:rPr>
          <w:rFonts w:ascii="Century Gothic" w:hAnsi="Century Gothic"/>
          <w:sz w:val="24"/>
          <w:szCs w:val="24"/>
        </w:rPr>
      </w:pPr>
      <w:r w:rsidRPr="00263280">
        <w:rPr>
          <w:rFonts w:ascii="Century Gothic" w:hAnsi="Century Gothic"/>
          <w:sz w:val="24"/>
          <w:szCs w:val="24"/>
        </w:rPr>
        <w:t>Oficina de Planificación del Área Metropolitana de San Salvador (OPAMSS)</w:t>
      </w:r>
    </w:p>
    <w:p w:rsidR="006A5065" w:rsidRDefault="006A5065" w:rsidP="006A5065">
      <w:pPr>
        <w:pStyle w:val="Sinespaciado"/>
        <w:jc w:val="center"/>
        <w:rPr>
          <w:rFonts w:ascii="Century Gothic" w:hAnsi="Century Gothic"/>
          <w:sz w:val="24"/>
          <w:szCs w:val="24"/>
        </w:rPr>
      </w:pPr>
    </w:p>
    <w:p w:rsidR="006A5065" w:rsidRPr="00263280" w:rsidRDefault="006A5065" w:rsidP="006A5065">
      <w:pPr>
        <w:pStyle w:val="Sinespaciado"/>
        <w:jc w:val="center"/>
        <w:rPr>
          <w:rFonts w:ascii="Century Gothic" w:hAnsi="Century Gothic"/>
          <w:sz w:val="24"/>
          <w:szCs w:val="24"/>
        </w:rPr>
      </w:pPr>
    </w:p>
    <w:p w:rsidR="006A5065" w:rsidRDefault="006A5065" w:rsidP="006A5065">
      <w:pPr>
        <w:pStyle w:val="Sinespaciado"/>
        <w:jc w:val="center"/>
        <w:rPr>
          <w:rFonts w:ascii="Century Gothic" w:hAnsi="Century Gothic"/>
          <w:sz w:val="24"/>
          <w:szCs w:val="24"/>
        </w:rPr>
      </w:pPr>
    </w:p>
    <w:p w:rsidR="006A5065" w:rsidRPr="00263280" w:rsidRDefault="006A5065" w:rsidP="006A5065">
      <w:pPr>
        <w:pStyle w:val="Sinespaciado"/>
        <w:jc w:val="center"/>
        <w:rPr>
          <w:rFonts w:ascii="Century Gothic" w:hAnsi="Century Gothic"/>
          <w:sz w:val="24"/>
          <w:szCs w:val="24"/>
        </w:rPr>
      </w:pPr>
      <w:r w:rsidRPr="00263280">
        <w:rPr>
          <w:rFonts w:ascii="Century Gothic" w:hAnsi="Century Gothic"/>
          <w:sz w:val="24"/>
          <w:szCs w:val="24"/>
        </w:rPr>
        <w:t>OFICINA DEL AUDITOR INTERNO (OAI)</w:t>
      </w:r>
    </w:p>
    <w:p w:rsidR="006A5065" w:rsidRDefault="006A5065" w:rsidP="006A5065">
      <w:pPr>
        <w:jc w:val="center"/>
        <w:rPr>
          <w:rFonts w:ascii="Century Gothic" w:hAnsi="Century Gothic"/>
          <w:b/>
        </w:rPr>
      </w:pPr>
    </w:p>
    <w:p w:rsidR="006A5065" w:rsidRDefault="006A5065" w:rsidP="006A5065">
      <w:pPr>
        <w:jc w:val="center"/>
        <w:rPr>
          <w:rFonts w:ascii="Century Gothic" w:hAnsi="Century Gothic"/>
          <w:b/>
        </w:rPr>
      </w:pPr>
    </w:p>
    <w:p w:rsidR="006A5065" w:rsidRDefault="006A5065" w:rsidP="006A5065">
      <w:pPr>
        <w:jc w:val="center"/>
        <w:rPr>
          <w:rFonts w:ascii="Century Gothic" w:hAnsi="Century Gothic"/>
          <w:b/>
        </w:rPr>
      </w:pPr>
    </w:p>
    <w:p w:rsidR="006A5065" w:rsidRDefault="006A5065" w:rsidP="006A5065">
      <w:pPr>
        <w:jc w:val="center"/>
        <w:rPr>
          <w:rFonts w:ascii="Century Gothic" w:hAnsi="Century Gothic"/>
          <w:b/>
        </w:rPr>
      </w:pPr>
    </w:p>
    <w:p w:rsidR="006A5065" w:rsidRPr="00C04FE2" w:rsidRDefault="00C04FE2" w:rsidP="006A5065">
      <w:pPr>
        <w:pStyle w:val="Sinespaciado"/>
        <w:jc w:val="center"/>
        <w:rPr>
          <w:rFonts w:ascii="Century Gothic" w:hAnsi="Century Gothic"/>
          <w:b/>
        </w:rPr>
      </w:pPr>
      <w:r w:rsidRPr="00C04FE2">
        <w:rPr>
          <w:rFonts w:ascii="Century Gothic" w:hAnsi="Century Gothic"/>
          <w:b/>
        </w:rPr>
        <w:t>ESTATUTO PARA LA DETERMINACIÓN DEL OBJETIVO, AUTORIDAD  RESPONSABILIDAD DE LA OFICINA DEL AUDITOR INTERNO (OAI) DEL COAMSS/OPAMSS.</w:t>
      </w:r>
    </w:p>
    <w:p w:rsidR="006A5065" w:rsidRDefault="006A5065" w:rsidP="006A5065">
      <w:pPr>
        <w:pStyle w:val="Sinespaciado"/>
        <w:jc w:val="center"/>
        <w:rPr>
          <w:rFonts w:ascii="Century Gothic" w:hAnsi="Century Gothic"/>
          <w:b/>
        </w:rPr>
      </w:pPr>
    </w:p>
    <w:p w:rsidR="006A5065" w:rsidRDefault="006A5065" w:rsidP="006A5065">
      <w:pPr>
        <w:pStyle w:val="Sinespaciado"/>
        <w:jc w:val="center"/>
        <w:rPr>
          <w:rFonts w:ascii="Century Gothic" w:hAnsi="Century Gothic"/>
          <w:b/>
        </w:rPr>
      </w:pPr>
    </w:p>
    <w:p w:rsidR="006A5065" w:rsidRDefault="006A5065" w:rsidP="006A5065">
      <w:pPr>
        <w:pStyle w:val="Sinespaciado"/>
        <w:jc w:val="center"/>
        <w:rPr>
          <w:rFonts w:ascii="Century Gothic" w:hAnsi="Century Gothic"/>
          <w:b/>
        </w:rPr>
      </w:pPr>
    </w:p>
    <w:p w:rsidR="006A5065" w:rsidRDefault="006A5065" w:rsidP="006A5065">
      <w:pPr>
        <w:pStyle w:val="Sinespaciado"/>
        <w:jc w:val="center"/>
        <w:rPr>
          <w:rFonts w:ascii="Century Gothic" w:hAnsi="Century Gothic"/>
          <w:b/>
        </w:rPr>
      </w:pPr>
    </w:p>
    <w:p w:rsidR="006A5065" w:rsidRDefault="006A5065" w:rsidP="006A5065">
      <w:pPr>
        <w:pStyle w:val="Sinespaciado"/>
        <w:jc w:val="center"/>
        <w:rPr>
          <w:rFonts w:ascii="Century Gothic" w:hAnsi="Century Gothic"/>
          <w:b/>
        </w:rPr>
      </w:pPr>
    </w:p>
    <w:p w:rsidR="006A5065" w:rsidRDefault="006A5065" w:rsidP="006A5065">
      <w:pPr>
        <w:pStyle w:val="Sinespaciado"/>
        <w:jc w:val="center"/>
        <w:rPr>
          <w:rFonts w:ascii="Century Gothic" w:hAnsi="Century Gothic"/>
          <w:b/>
        </w:rPr>
      </w:pPr>
    </w:p>
    <w:p w:rsidR="006A5065" w:rsidRDefault="006A5065" w:rsidP="006A5065">
      <w:pPr>
        <w:pStyle w:val="Sinespaciado"/>
        <w:jc w:val="center"/>
        <w:rPr>
          <w:rFonts w:ascii="Century Gothic" w:hAnsi="Century Gothic"/>
          <w:b/>
        </w:rPr>
      </w:pPr>
    </w:p>
    <w:p w:rsidR="006A5065" w:rsidRPr="001F615F" w:rsidRDefault="006A5065" w:rsidP="006A5065">
      <w:pPr>
        <w:pStyle w:val="Sinespaciado"/>
        <w:jc w:val="center"/>
        <w:rPr>
          <w:rFonts w:ascii="Century Gothic" w:hAnsi="Century Gothic"/>
          <w:b/>
        </w:rPr>
      </w:pPr>
      <w:r>
        <w:rPr>
          <w:rFonts w:ascii="Century Gothic" w:hAnsi="Century Gothic"/>
          <w:b/>
        </w:rPr>
        <w:t xml:space="preserve">San </w:t>
      </w:r>
      <w:r w:rsidR="00F43049">
        <w:rPr>
          <w:rFonts w:ascii="Century Gothic" w:hAnsi="Century Gothic"/>
          <w:b/>
        </w:rPr>
        <w:t>Salvador, OAI, Noviembre de 1997</w:t>
      </w:r>
    </w:p>
    <w:p w:rsidR="006A5065" w:rsidRDefault="006A5065"/>
    <w:p w:rsidR="00575EA9" w:rsidRDefault="00575EA9">
      <w:r>
        <w:br w:type="page"/>
      </w:r>
    </w:p>
    <w:p w:rsidR="007C3F06" w:rsidRDefault="007C3F06"/>
    <w:p w:rsidR="00277AC0" w:rsidRPr="00C04FE2" w:rsidRDefault="00C04FE2" w:rsidP="00277AC0">
      <w:pPr>
        <w:pStyle w:val="Sinespaciado"/>
        <w:jc w:val="center"/>
        <w:rPr>
          <w:rFonts w:ascii="Century Gothic" w:hAnsi="Century Gothic"/>
          <w:b/>
        </w:rPr>
      </w:pPr>
      <w:r w:rsidRPr="00C04FE2">
        <w:rPr>
          <w:rFonts w:ascii="Century Gothic" w:hAnsi="Century Gothic"/>
          <w:b/>
        </w:rPr>
        <w:t>ESTATUTO PARA LA DETERMINACIÓN DEL OBJETIVO, AUTORIDAD  RESPONSABILIDAD DE LA OFICINA DEL AUDITOR INTERNO (OAI) DEL COAMSS/OPAMSS.</w:t>
      </w:r>
    </w:p>
    <w:p w:rsidR="007C3F06" w:rsidRDefault="007C3F06">
      <w:bookmarkStart w:id="0" w:name="_GoBack"/>
      <w:bookmarkEnd w:id="0"/>
    </w:p>
    <w:p w:rsidR="00730131" w:rsidRDefault="00730131"/>
    <w:sdt>
      <w:sdtPr>
        <w:rPr>
          <w:rFonts w:asciiTheme="minorHAnsi" w:eastAsiaTheme="minorHAnsi" w:hAnsiTheme="minorHAnsi" w:cstheme="minorBidi"/>
          <w:b w:val="0"/>
          <w:bCs w:val="0"/>
          <w:color w:val="auto"/>
          <w:sz w:val="22"/>
          <w:szCs w:val="22"/>
          <w:lang w:val="es-ES" w:eastAsia="en-US"/>
        </w:rPr>
        <w:id w:val="803890433"/>
        <w:docPartObj>
          <w:docPartGallery w:val="Table of Contents"/>
          <w:docPartUnique/>
        </w:docPartObj>
      </w:sdtPr>
      <w:sdtEndPr/>
      <w:sdtContent>
        <w:p w:rsidR="007C3F06" w:rsidRDefault="007C3F06" w:rsidP="007C3F06">
          <w:pPr>
            <w:pStyle w:val="TtulodeTDC"/>
            <w:jc w:val="center"/>
            <w:rPr>
              <w:lang w:val="es-ES"/>
            </w:rPr>
          </w:pPr>
          <w:r>
            <w:rPr>
              <w:lang w:val="es-ES"/>
            </w:rPr>
            <w:t>Contenido</w:t>
          </w:r>
        </w:p>
        <w:p w:rsidR="00730131" w:rsidRPr="00730131" w:rsidRDefault="00730131" w:rsidP="00730131">
          <w:pPr>
            <w:rPr>
              <w:lang w:val="es-ES" w:eastAsia="es-SV"/>
            </w:rPr>
          </w:pPr>
        </w:p>
        <w:p w:rsidR="007C3F06" w:rsidRDefault="007C3F06" w:rsidP="000A2193">
          <w:pPr>
            <w:pStyle w:val="TDC1"/>
          </w:pPr>
        </w:p>
        <w:p w:rsidR="001F4992" w:rsidRDefault="007C3F06">
          <w:pPr>
            <w:pStyle w:val="TDC1"/>
            <w:rPr>
              <w:rFonts w:asciiTheme="minorHAnsi" w:eastAsiaTheme="minorEastAsia" w:hAnsiTheme="minorHAnsi"/>
              <w:b w:val="0"/>
              <w:lang w:eastAsia="es-SV"/>
            </w:rPr>
          </w:pPr>
          <w:r>
            <w:fldChar w:fldCharType="begin"/>
          </w:r>
          <w:r>
            <w:instrText xml:space="preserve"> TOC \o "1-3" \h \z \u </w:instrText>
          </w:r>
          <w:r>
            <w:fldChar w:fldCharType="separate"/>
          </w:r>
          <w:hyperlink w:anchor="_Toc441566237" w:history="1">
            <w:r w:rsidR="001F4992" w:rsidRPr="003C3939">
              <w:rPr>
                <w:rStyle w:val="Hipervnculo"/>
              </w:rPr>
              <w:t>PROPÓSITO.</w:t>
            </w:r>
            <w:r w:rsidR="001F4992">
              <w:rPr>
                <w:webHidden/>
              </w:rPr>
              <w:tab/>
            </w:r>
            <w:r w:rsidR="001F4992">
              <w:rPr>
                <w:webHidden/>
              </w:rPr>
              <w:fldChar w:fldCharType="begin"/>
            </w:r>
            <w:r w:rsidR="001F4992">
              <w:rPr>
                <w:webHidden/>
              </w:rPr>
              <w:instrText xml:space="preserve"> PAGEREF _Toc441566237 \h </w:instrText>
            </w:r>
            <w:r w:rsidR="001F4992">
              <w:rPr>
                <w:webHidden/>
              </w:rPr>
            </w:r>
            <w:r w:rsidR="001F4992">
              <w:rPr>
                <w:webHidden/>
              </w:rPr>
              <w:fldChar w:fldCharType="separate"/>
            </w:r>
            <w:r w:rsidR="001F4992">
              <w:rPr>
                <w:webHidden/>
              </w:rPr>
              <w:t>2</w:t>
            </w:r>
            <w:r w:rsidR="001F4992">
              <w:rPr>
                <w:webHidden/>
              </w:rPr>
              <w:fldChar w:fldCharType="end"/>
            </w:r>
          </w:hyperlink>
        </w:p>
        <w:p w:rsidR="00730131" w:rsidRDefault="00730131">
          <w:pPr>
            <w:pStyle w:val="TDC1"/>
            <w:rPr>
              <w:rStyle w:val="Hipervnculo"/>
            </w:rPr>
          </w:pPr>
        </w:p>
        <w:p w:rsidR="001F4992" w:rsidRDefault="001F4992">
          <w:pPr>
            <w:pStyle w:val="TDC1"/>
            <w:rPr>
              <w:rFonts w:asciiTheme="minorHAnsi" w:eastAsiaTheme="minorEastAsia" w:hAnsiTheme="minorHAnsi"/>
              <w:b w:val="0"/>
              <w:lang w:eastAsia="es-SV"/>
            </w:rPr>
          </w:pPr>
          <w:hyperlink w:anchor="_Toc441566238" w:history="1">
            <w:r w:rsidRPr="003C3939">
              <w:rPr>
                <w:rStyle w:val="Hipervnculo"/>
              </w:rPr>
              <w:t>OBJETIVO DEL DEPARTAMENTO DE AUDITORÍA INTERNA.</w:t>
            </w:r>
            <w:r>
              <w:rPr>
                <w:webHidden/>
              </w:rPr>
              <w:tab/>
            </w:r>
            <w:r>
              <w:rPr>
                <w:webHidden/>
              </w:rPr>
              <w:fldChar w:fldCharType="begin"/>
            </w:r>
            <w:r>
              <w:rPr>
                <w:webHidden/>
              </w:rPr>
              <w:instrText xml:space="preserve"> PAGEREF _Toc441566238 \h </w:instrText>
            </w:r>
            <w:r>
              <w:rPr>
                <w:webHidden/>
              </w:rPr>
            </w:r>
            <w:r>
              <w:rPr>
                <w:webHidden/>
              </w:rPr>
              <w:fldChar w:fldCharType="separate"/>
            </w:r>
            <w:r>
              <w:rPr>
                <w:webHidden/>
              </w:rPr>
              <w:t>2</w:t>
            </w:r>
            <w:r>
              <w:rPr>
                <w:webHidden/>
              </w:rPr>
              <w:fldChar w:fldCharType="end"/>
            </w:r>
          </w:hyperlink>
        </w:p>
        <w:p w:rsidR="00730131" w:rsidRDefault="00730131">
          <w:pPr>
            <w:pStyle w:val="TDC1"/>
            <w:rPr>
              <w:rStyle w:val="Hipervnculo"/>
            </w:rPr>
          </w:pPr>
        </w:p>
        <w:p w:rsidR="001F4992" w:rsidRDefault="001F4992">
          <w:pPr>
            <w:pStyle w:val="TDC1"/>
            <w:rPr>
              <w:rFonts w:asciiTheme="minorHAnsi" w:eastAsiaTheme="minorEastAsia" w:hAnsiTheme="minorHAnsi"/>
              <w:b w:val="0"/>
              <w:lang w:eastAsia="es-SV"/>
            </w:rPr>
          </w:pPr>
          <w:hyperlink w:anchor="_Toc441566239" w:history="1">
            <w:r w:rsidRPr="003C3939">
              <w:rPr>
                <w:rStyle w:val="Hipervnculo"/>
              </w:rPr>
              <w:t>ALCANCE DEL TRABAJO.</w:t>
            </w:r>
            <w:r>
              <w:rPr>
                <w:webHidden/>
              </w:rPr>
              <w:tab/>
            </w:r>
            <w:r>
              <w:rPr>
                <w:webHidden/>
              </w:rPr>
              <w:fldChar w:fldCharType="begin"/>
            </w:r>
            <w:r>
              <w:rPr>
                <w:webHidden/>
              </w:rPr>
              <w:instrText xml:space="preserve"> PAGEREF _Toc441566239 \h </w:instrText>
            </w:r>
            <w:r>
              <w:rPr>
                <w:webHidden/>
              </w:rPr>
            </w:r>
            <w:r>
              <w:rPr>
                <w:webHidden/>
              </w:rPr>
              <w:fldChar w:fldCharType="separate"/>
            </w:r>
            <w:r>
              <w:rPr>
                <w:webHidden/>
              </w:rPr>
              <w:t>3</w:t>
            </w:r>
            <w:r>
              <w:rPr>
                <w:webHidden/>
              </w:rPr>
              <w:fldChar w:fldCharType="end"/>
            </w:r>
          </w:hyperlink>
        </w:p>
        <w:p w:rsidR="00730131" w:rsidRDefault="00730131">
          <w:pPr>
            <w:pStyle w:val="TDC1"/>
            <w:rPr>
              <w:rStyle w:val="Hipervnculo"/>
            </w:rPr>
          </w:pPr>
        </w:p>
        <w:p w:rsidR="001F4992" w:rsidRDefault="001F4992">
          <w:pPr>
            <w:pStyle w:val="TDC1"/>
            <w:rPr>
              <w:rFonts w:asciiTheme="minorHAnsi" w:eastAsiaTheme="minorEastAsia" w:hAnsiTheme="minorHAnsi"/>
              <w:b w:val="0"/>
              <w:lang w:eastAsia="es-SV"/>
            </w:rPr>
          </w:pPr>
          <w:hyperlink w:anchor="_Toc441566240" w:history="1">
            <w:r w:rsidRPr="003C3939">
              <w:rPr>
                <w:rStyle w:val="Hipervnculo"/>
              </w:rPr>
              <w:t>FUNCIONES BÁSICAS.</w:t>
            </w:r>
            <w:r>
              <w:rPr>
                <w:webHidden/>
              </w:rPr>
              <w:tab/>
            </w:r>
            <w:r>
              <w:rPr>
                <w:webHidden/>
              </w:rPr>
              <w:fldChar w:fldCharType="begin"/>
            </w:r>
            <w:r>
              <w:rPr>
                <w:webHidden/>
              </w:rPr>
              <w:instrText xml:space="preserve"> PAGEREF _Toc441566240 \h </w:instrText>
            </w:r>
            <w:r>
              <w:rPr>
                <w:webHidden/>
              </w:rPr>
            </w:r>
            <w:r>
              <w:rPr>
                <w:webHidden/>
              </w:rPr>
              <w:fldChar w:fldCharType="separate"/>
            </w:r>
            <w:r>
              <w:rPr>
                <w:webHidden/>
              </w:rPr>
              <w:t>3</w:t>
            </w:r>
            <w:r>
              <w:rPr>
                <w:webHidden/>
              </w:rPr>
              <w:fldChar w:fldCharType="end"/>
            </w:r>
          </w:hyperlink>
        </w:p>
        <w:p w:rsidR="00730131" w:rsidRDefault="00730131">
          <w:pPr>
            <w:pStyle w:val="TDC1"/>
            <w:rPr>
              <w:rStyle w:val="Hipervnculo"/>
            </w:rPr>
          </w:pPr>
        </w:p>
        <w:p w:rsidR="001F4992" w:rsidRDefault="001F4992">
          <w:pPr>
            <w:pStyle w:val="TDC1"/>
            <w:rPr>
              <w:rFonts w:asciiTheme="minorHAnsi" w:eastAsiaTheme="minorEastAsia" w:hAnsiTheme="minorHAnsi"/>
              <w:b w:val="0"/>
              <w:lang w:eastAsia="es-SV"/>
            </w:rPr>
          </w:pPr>
          <w:hyperlink w:anchor="_Toc441566241" w:history="1">
            <w:r w:rsidRPr="003C3939">
              <w:rPr>
                <w:rStyle w:val="Hipervnculo"/>
              </w:rPr>
              <w:t>NOTAS FINALES.</w:t>
            </w:r>
            <w:r>
              <w:rPr>
                <w:webHidden/>
              </w:rPr>
              <w:tab/>
            </w:r>
            <w:r>
              <w:rPr>
                <w:webHidden/>
              </w:rPr>
              <w:fldChar w:fldCharType="begin"/>
            </w:r>
            <w:r>
              <w:rPr>
                <w:webHidden/>
              </w:rPr>
              <w:instrText xml:space="preserve"> PAGEREF _Toc441566241 \h </w:instrText>
            </w:r>
            <w:r>
              <w:rPr>
                <w:webHidden/>
              </w:rPr>
            </w:r>
            <w:r>
              <w:rPr>
                <w:webHidden/>
              </w:rPr>
              <w:fldChar w:fldCharType="separate"/>
            </w:r>
            <w:r>
              <w:rPr>
                <w:webHidden/>
              </w:rPr>
              <w:t>3</w:t>
            </w:r>
            <w:r>
              <w:rPr>
                <w:webHidden/>
              </w:rPr>
              <w:fldChar w:fldCharType="end"/>
            </w:r>
          </w:hyperlink>
        </w:p>
        <w:p w:rsidR="007C3F06" w:rsidRDefault="007C3F06">
          <w:r>
            <w:rPr>
              <w:b/>
              <w:bCs/>
              <w:lang w:val="es-ES"/>
            </w:rPr>
            <w:fldChar w:fldCharType="end"/>
          </w:r>
        </w:p>
      </w:sdtContent>
    </w:sdt>
    <w:p w:rsidR="001F4992" w:rsidRDefault="001F4992">
      <w:r>
        <w:br w:type="page"/>
      </w:r>
    </w:p>
    <w:p w:rsidR="007C3F06" w:rsidRDefault="007C3F06"/>
    <w:p w:rsidR="002C78AF" w:rsidRDefault="002C78AF"/>
    <w:p w:rsidR="007D6D97" w:rsidRDefault="00C04FE2" w:rsidP="007D6D97">
      <w:pPr>
        <w:pStyle w:val="Sinespaciado"/>
        <w:jc w:val="center"/>
        <w:rPr>
          <w:rFonts w:ascii="Century Gothic" w:hAnsi="Century Gothic"/>
          <w:b/>
        </w:rPr>
      </w:pPr>
      <w:r w:rsidRPr="00C04FE2">
        <w:rPr>
          <w:rFonts w:ascii="Century Gothic" w:hAnsi="Century Gothic"/>
          <w:b/>
        </w:rPr>
        <w:t>ESTATUTO PARA LA DETERMINACIÓN DEL OBJETIVO, AUTORIDAD  RESPONSABILIDAD DE LA OFICINA DEL AUDITOR INTERNO (OAI) DEL COAMSS/OPAMSS.</w:t>
      </w:r>
    </w:p>
    <w:p w:rsidR="002C78AF" w:rsidRPr="00C04FE2" w:rsidRDefault="002C78AF" w:rsidP="007D6D97">
      <w:pPr>
        <w:pStyle w:val="Sinespaciado"/>
        <w:jc w:val="center"/>
        <w:rPr>
          <w:rFonts w:ascii="Century Gothic" w:hAnsi="Century Gothic"/>
          <w:b/>
        </w:rPr>
      </w:pPr>
    </w:p>
    <w:p w:rsidR="000F2ECD" w:rsidRDefault="001476D3" w:rsidP="001476D3">
      <w:pPr>
        <w:pStyle w:val="Ttulo1"/>
        <w:rPr>
          <w:rFonts w:ascii="Century Gothic" w:hAnsi="Century Gothic"/>
          <w:color w:val="auto"/>
          <w:sz w:val="24"/>
          <w:szCs w:val="24"/>
        </w:rPr>
      </w:pPr>
      <w:bookmarkStart w:id="1" w:name="_Toc441566237"/>
      <w:r>
        <w:rPr>
          <w:rFonts w:ascii="Century Gothic" w:hAnsi="Century Gothic"/>
          <w:color w:val="auto"/>
          <w:sz w:val="24"/>
          <w:szCs w:val="24"/>
        </w:rPr>
        <w:t>PROPÓSITO</w:t>
      </w:r>
      <w:r w:rsidR="00180280">
        <w:rPr>
          <w:rFonts w:ascii="Century Gothic" w:hAnsi="Century Gothic"/>
          <w:color w:val="auto"/>
          <w:sz w:val="24"/>
          <w:szCs w:val="24"/>
        </w:rPr>
        <w:t>.</w:t>
      </w:r>
      <w:bookmarkEnd w:id="1"/>
    </w:p>
    <w:p w:rsidR="00180280" w:rsidRDefault="00180280" w:rsidP="00180280">
      <w:pPr>
        <w:pStyle w:val="Sinespaciado"/>
      </w:pPr>
    </w:p>
    <w:p w:rsidR="00180280" w:rsidRDefault="00180280" w:rsidP="00180280">
      <w:pPr>
        <w:pStyle w:val="Prrafodelista"/>
        <w:numPr>
          <w:ilvl w:val="0"/>
          <w:numId w:val="22"/>
        </w:numPr>
        <w:rPr>
          <w:rFonts w:ascii="Century Gothic" w:hAnsi="Century Gothic"/>
        </w:rPr>
      </w:pPr>
      <w:r>
        <w:rPr>
          <w:rFonts w:ascii="Century Gothic" w:hAnsi="Century Gothic"/>
        </w:rPr>
        <w:t>Esta nota (de estatuto) contiene la definición técnica de las funciones principales del Departamento de Auditoría Interna de la Oficina de Planificación del Área Metropolitana de San Salvador (OPAMSS).</w:t>
      </w:r>
    </w:p>
    <w:p w:rsidR="002C78AF" w:rsidRDefault="002C78AF" w:rsidP="002C78AF">
      <w:pPr>
        <w:pStyle w:val="Prrafodelista"/>
        <w:ind w:left="360"/>
        <w:rPr>
          <w:rFonts w:ascii="Century Gothic" w:hAnsi="Century Gothic"/>
        </w:rPr>
      </w:pPr>
    </w:p>
    <w:p w:rsidR="00AD620E" w:rsidRDefault="002C0AF3" w:rsidP="002C0AF3">
      <w:pPr>
        <w:pStyle w:val="Ttulo1"/>
        <w:rPr>
          <w:rFonts w:ascii="Century Gothic" w:hAnsi="Century Gothic"/>
          <w:color w:val="auto"/>
          <w:sz w:val="24"/>
          <w:szCs w:val="24"/>
        </w:rPr>
      </w:pPr>
      <w:bookmarkStart w:id="2" w:name="_Toc441566238"/>
      <w:r>
        <w:rPr>
          <w:rFonts w:ascii="Century Gothic" w:hAnsi="Century Gothic"/>
          <w:color w:val="auto"/>
          <w:sz w:val="24"/>
          <w:szCs w:val="24"/>
        </w:rPr>
        <w:t>OBJETIVO DEL DEPARTAMENTO DE AUDITORÍA INTERNA</w:t>
      </w:r>
      <w:r w:rsidR="003F2D1D">
        <w:rPr>
          <w:rFonts w:ascii="Century Gothic" w:hAnsi="Century Gothic"/>
          <w:color w:val="auto"/>
          <w:sz w:val="24"/>
          <w:szCs w:val="24"/>
        </w:rPr>
        <w:t>.</w:t>
      </w:r>
      <w:bookmarkEnd w:id="2"/>
    </w:p>
    <w:p w:rsidR="008C5935" w:rsidRPr="008C5935" w:rsidRDefault="008C5935" w:rsidP="008C5935">
      <w:pPr>
        <w:pStyle w:val="Sinespaciado"/>
      </w:pPr>
    </w:p>
    <w:p w:rsidR="008A6648" w:rsidRDefault="008C5935" w:rsidP="008C5935">
      <w:pPr>
        <w:pStyle w:val="Sinespaciado"/>
        <w:numPr>
          <w:ilvl w:val="0"/>
          <w:numId w:val="21"/>
        </w:numPr>
        <w:jc w:val="both"/>
        <w:rPr>
          <w:rFonts w:ascii="Century Gothic" w:hAnsi="Century Gothic"/>
        </w:rPr>
      </w:pPr>
      <w:r>
        <w:rPr>
          <w:rFonts w:ascii="Century Gothic" w:hAnsi="Century Gothic"/>
        </w:rPr>
        <w:t xml:space="preserve">Prestar servicios de staff a la Dirección Ejecutiva de la OPAMSS para el efectivo desempeño de las responsabilidades operativas de la Organización a través de proporcionarle análisis, evaluaciones, exámenes, recomendaciones, asesoría e información relacionadas con las actividades auditadas para promover un efectivo </w:t>
      </w:r>
      <w:r w:rsidR="00FE6FE5" w:rsidRPr="00C21E46">
        <w:rPr>
          <w:rFonts w:ascii="Century Gothic" w:hAnsi="Century Gothic"/>
        </w:rPr>
        <w:t xml:space="preserve"> </w:t>
      </w:r>
      <w:r>
        <w:rPr>
          <w:rFonts w:ascii="Century Gothic" w:hAnsi="Century Gothic"/>
        </w:rPr>
        <w:t>control interno con eficacia y economía razonables (Apoyo y Asistencia a Organismo Directivo y a la Dirección)</w:t>
      </w:r>
      <w:r w:rsidR="002C78AF">
        <w:rPr>
          <w:rFonts w:ascii="Century Gothic" w:hAnsi="Century Gothic"/>
        </w:rPr>
        <w:t>.</w:t>
      </w:r>
    </w:p>
    <w:p w:rsidR="002C78AF" w:rsidRDefault="002C78AF" w:rsidP="002C78AF">
      <w:pPr>
        <w:pStyle w:val="Sinespaciado"/>
        <w:ind w:left="360"/>
        <w:jc w:val="both"/>
        <w:rPr>
          <w:rFonts w:ascii="Century Gothic" w:hAnsi="Century Gothic"/>
        </w:rPr>
      </w:pPr>
    </w:p>
    <w:p w:rsidR="003829F0" w:rsidRDefault="00446A60" w:rsidP="00446A60">
      <w:pPr>
        <w:pStyle w:val="Ttulo1"/>
        <w:rPr>
          <w:rFonts w:ascii="Century Gothic" w:hAnsi="Century Gothic"/>
          <w:color w:val="auto"/>
          <w:sz w:val="24"/>
          <w:szCs w:val="24"/>
        </w:rPr>
      </w:pPr>
      <w:bookmarkStart w:id="3" w:name="_Toc441566239"/>
      <w:r>
        <w:rPr>
          <w:rFonts w:ascii="Century Gothic" w:hAnsi="Century Gothic"/>
          <w:color w:val="auto"/>
          <w:sz w:val="24"/>
          <w:szCs w:val="24"/>
        </w:rPr>
        <w:t>ALCANCE DEL TRABAJO.</w:t>
      </w:r>
      <w:bookmarkEnd w:id="3"/>
    </w:p>
    <w:p w:rsidR="003F2D1D" w:rsidRPr="003F2D1D" w:rsidRDefault="003F2D1D" w:rsidP="003F2D1D">
      <w:pPr>
        <w:pStyle w:val="Sinespaciado"/>
      </w:pPr>
    </w:p>
    <w:p w:rsidR="001C6BD9" w:rsidRPr="00996F6F" w:rsidRDefault="00EE71D1" w:rsidP="001C6BD9">
      <w:pPr>
        <w:pStyle w:val="Prrafodelista"/>
        <w:numPr>
          <w:ilvl w:val="0"/>
          <w:numId w:val="20"/>
        </w:numPr>
        <w:rPr>
          <w:rFonts w:ascii="Century Gothic" w:hAnsi="Century Gothic"/>
        </w:rPr>
      </w:pPr>
      <w:r w:rsidRPr="00996F6F">
        <w:rPr>
          <w:rFonts w:ascii="Century Gothic" w:hAnsi="Century Gothic"/>
        </w:rPr>
        <w:t>Examen y evaluación de la idoneidad y efectividad del sistema de control interno y de su eficacia para alcanzar los objetivos establecidos por el Organismo Directivo y Dirección Ejecutiva de la OPAMSS.</w:t>
      </w:r>
    </w:p>
    <w:p w:rsidR="001C6BD9" w:rsidRDefault="001C6BD9" w:rsidP="001C6BD9">
      <w:pPr>
        <w:pStyle w:val="Ttulo1"/>
        <w:rPr>
          <w:rFonts w:ascii="Century Gothic" w:hAnsi="Century Gothic"/>
          <w:color w:val="auto"/>
          <w:sz w:val="24"/>
          <w:szCs w:val="24"/>
        </w:rPr>
      </w:pPr>
      <w:bookmarkStart w:id="4" w:name="_Toc441566240"/>
      <w:r>
        <w:rPr>
          <w:rFonts w:ascii="Century Gothic" w:hAnsi="Century Gothic"/>
          <w:color w:val="auto"/>
          <w:sz w:val="24"/>
          <w:szCs w:val="24"/>
        </w:rPr>
        <w:t>FUNCIONES BÁSICAS</w:t>
      </w:r>
      <w:r>
        <w:rPr>
          <w:rFonts w:ascii="Century Gothic" w:hAnsi="Century Gothic"/>
          <w:color w:val="auto"/>
          <w:sz w:val="24"/>
          <w:szCs w:val="24"/>
        </w:rPr>
        <w:t>.</w:t>
      </w:r>
      <w:bookmarkEnd w:id="4"/>
    </w:p>
    <w:p w:rsidR="00A4555A" w:rsidRPr="00A4555A" w:rsidRDefault="00A4555A" w:rsidP="009029EF">
      <w:pPr>
        <w:pStyle w:val="Sinespaciado"/>
      </w:pPr>
    </w:p>
    <w:p w:rsidR="008628D4" w:rsidRDefault="00B22CB8" w:rsidP="00A4555A">
      <w:pPr>
        <w:pStyle w:val="Prrafodelista"/>
        <w:numPr>
          <w:ilvl w:val="0"/>
          <w:numId w:val="19"/>
        </w:numPr>
        <w:rPr>
          <w:rFonts w:ascii="Century Gothic" w:hAnsi="Century Gothic"/>
        </w:rPr>
      </w:pPr>
      <w:r w:rsidRPr="00B22CB8">
        <w:rPr>
          <w:rFonts w:ascii="Century Gothic" w:hAnsi="Century Gothic"/>
        </w:rPr>
        <w:t xml:space="preserve">Efectuar </w:t>
      </w:r>
      <w:r>
        <w:rPr>
          <w:rFonts w:ascii="Century Gothic" w:hAnsi="Century Gothic"/>
        </w:rPr>
        <w:t>estudios y evaluaciones de la estructura de control interno de la OPAMSS.</w:t>
      </w:r>
    </w:p>
    <w:p w:rsidR="00B22CB8" w:rsidRDefault="00B22CB8" w:rsidP="00A4555A">
      <w:pPr>
        <w:pStyle w:val="Prrafodelista"/>
        <w:numPr>
          <w:ilvl w:val="0"/>
          <w:numId w:val="19"/>
        </w:numPr>
        <w:rPr>
          <w:rFonts w:ascii="Century Gothic" w:hAnsi="Century Gothic"/>
        </w:rPr>
      </w:pPr>
      <w:r>
        <w:rPr>
          <w:rFonts w:ascii="Century Gothic" w:hAnsi="Century Gothic"/>
        </w:rPr>
        <w:t>Realizar exámenes de las funciones  prácticas operacionales de la OPAMSS para promover el incremento de la eficiencia, eficacia y economía.</w:t>
      </w:r>
    </w:p>
    <w:p w:rsidR="00B22CB8" w:rsidRDefault="00B22CB8" w:rsidP="00A4555A">
      <w:pPr>
        <w:pStyle w:val="Prrafodelista"/>
        <w:numPr>
          <w:ilvl w:val="0"/>
          <w:numId w:val="19"/>
        </w:numPr>
        <w:rPr>
          <w:rFonts w:ascii="Century Gothic" w:hAnsi="Century Gothic"/>
        </w:rPr>
      </w:pPr>
      <w:r>
        <w:rPr>
          <w:rFonts w:ascii="Century Gothic" w:hAnsi="Century Gothic"/>
        </w:rPr>
        <w:t>Desarrollar auditorías en áreas de operación y administración de la OPAMSS, determinadas por el Organismo Directivo  y/o la Dirección Ejecutiva.</w:t>
      </w:r>
    </w:p>
    <w:p w:rsidR="001C6BD9" w:rsidRDefault="00B22CB8" w:rsidP="001C6BD9">
      <w:pPr>
        <w:pStyle w:val="Prrafodelista"/>
        <w:numPr>
          <w:ilvl w:val="0"/>
          <w:numId w:val="19"/>
        </w:numPr>
        <w:rPr>
          <w:rFonts w:ascii="Century Gothic" w:hAnsi="Century Gothic"/>
        </w:rPr>
      </w:pPr>
      <w:r>
        <w:rPr>
          <w:rFonts w:ascii="Century Gothic" w:hAnsi="Century Gothic"/>
        </w:rPr>
        <w:t xml:space="preserve">Determinar la consistencia en la aplicación de los Principios de Contabilidad Gubernamental (PCG), emitidas por la Dirección General de Contabilidad </w:t>
      </w:r>
      <w:r>
        <w:rPr>
          <w:rFonts w:ascii="Century Gothic" w:hAnsi="Century Gothic"/>
        </w:rPr>
        <w:lastRenderedPageBreak/>
        <w:t>Gubernamental (DGCG) y los Principios de Contabilidad Generalmente Aceptadas (PCGA), en lo aplicable.</w:t>
      </w:r>
    </w:p>
    <w:p w:rsidR="00113101" w:rsidRDefault="00903A58" w:rsidP="001C6BD9">
      <w:pPr>
        <w:pStyle w:val="Prrafodelista"/>
        <w:numPr>
          <w:ilvl w:val="0"/>
          <w:numId w:val="19"/>
        </w:numPr>
        <w:rPr>
          <w:rFonts w:ascii="Century Gothic" w:hAnsi="Century Gothic"/>
        </w:rPr>
      </w:pPr>
      <w:r>
        <w:rPr>
          <w:rFonts w:ascii="Century Gothic" w:hAnsi="Century Gothic"/>
        </w:rPr>
        <w:t>Comprobar la propiedad y derechos de los activos de la OPAMSS y obligaciones a la que está sujeta.</w:t>
      </w:r>
    </w:p>
    <w:p w:rsidR="00903A58" w:rsidRDefault="00903A58" w:rsidP="001C6BD9">
      <w:pPr>
        <w:pStyle w:val="Prrafodelista"/>
        <w:numPr>
          <w:ilvl w:val="0"/>
          <w:numId w:val="19"/>
        </w:numPr>
        <w:rPr>
          <w:rFonts w:ascii="Century Gothic" w:hAnsi="Century Gothic"/>
        </w:rPr>
      </w:pPr>
      <w:r>
        <w:rPr>
          <w:rFonts w:ascii="Century Gothic" w:hAnsi="Century Gothic"/>
        </w:rPr>
        <w:t>Mantener un seguimiento de los informes emitidos y de las resoluciones adoptadas por el Organismo Directivo y la Dirección Ejecutiva.</w:t>
      </w:r>
    </w:p>
    <w:p w:rsidR="00B92DE3" w:rsidRPr="00B92DE3" w:rsidRDefault="00B92DE3" w:rsidP="001C6BD9">
      <w:pPr>
        <w:pStyle w:val="Prrafodelista"/>
        <w:numPr>
          <w:ilvl w:val="0"/>
          <w:numId w:val="19"/>
        </w:numPr>
        <w:rPr>
          <w:rFonts w:ascii="Century Gothic" w:hAnsi="Century Gothic"/>
        </w:rPr>
      </w:pPr>
      <w:r w:rsidRPr="00B92DE3">
        <w:rPr>
          <w:rFonts w:ascii="Century Gothic" w:hAnsi="Century Gothic"/>
        </w:rPr>
        <w:t>Auditar las operaciones, procedimientos, sistemas y políticas definidas por el Organismo Directivo y la Dirección Ejecutiva de la OPAMSS.</w:t>
      </w:r>
    </w:p>
    <w:p w:rsidR="00F2634F" w:rsidRDefault="00F2634F" w:rsidP="00F2634F">
      <w:pPr>
        <w:pStyle w:val="Ttulo1"/>
        <w:rPr>
          <w:rFonts w:ascii="Century Gothic" w:hAnsi="Century Gothic"/>
          <w:color w:val="auto"/>
          <w:sz w:val="24"/>
          <w:szCs w:val="24"/>
        </w:rPr>
      </w:pPr>
      <w:bookmarkStart w:id="5" w:name="_Toc441566241"/>
      <w:r>
        <w:rPr>
          <w:rFonts w:ascii="Century Gothic" w:hAnsi="Century Gothic"/>
          <w:color w:val="auto"/>
          <w:sz w:val="24"/>
          <w:szCs w:val="24"/>
        </w:rPr>
        <w:t>NOTAS FINALES</w:t>
      </w:r>
      <w:r>
        <w:rPr>
          <w:rFonts w:ascii="Century Gothic" w:hAnsi="Century Gothic"/>
          <w:color w:val="auto"/>
          <w:sz w:val="24"/>
          <w:szCs w:val="24"/>
        </w:rPr>
        <w:t>.</w:t>
      </w:r>
      <w:bookmarkEnd w:id="5"/>
    </w:p>
    <w:p w:rsidR="00A4555A" w:rsidRPr="00A4555A" w:rsidRDefault="00A4555A" w:rsidP="009029EF">
      <w:pPr>
        <w:pStyle w:val="Sinespaciado"/>
      </w:pPr>
    </w:p>
    <w:p w:rsidR="00F2634F" w:rsidRDefault="005F303E" w:rsidP="001C6BD9">
      <w:pPr>
        <w:rPr>
          <w:rFonts w:ascii="Century Gothic" w:hAnsi="Century Gothic"/>
        </w:rPr>
      </w:pPr>
      <w:r>
        <w:rPr>
          <w:rFonts w:ascii="Century Gothic" w:hAnsi="Century Gothic"/>
        </w:rPr>
        <w:t>Esta definición técnica de las funciones principales del Departamento de Auditoría Interna está fundamentada en la Política de la Dirección Ejecutiva relativa al “… buen funcionamiento de la organización administrativa de la OPAMSS…” establecidas en el literal g) del artículo 9 del Acuerdo de Creación de la OPAMSS, según Acta 02 del 29 de Octubre d</w:t>
      </w:r>
      <w:r w:rsidR="006E0893">
        <w:rPr>
          <w:rFonts w:ascii="Century Gothic" w:hAnsi="Century Gothic"/>
        </w:rPr>
        <w:t>e 1988 y en las directrices emanadas por la Ley de la Corte de Cuentas de la República, especialmente en cuanto a los requerimientos técnicos de auditoría mínimos exigidos por esta Ley, sus reglamentos y Normas de Auditoría, incluyendo el acceso irrestricto de los auditores en el ejercicio de su cargo para efectos de realizar efectivamente su trabajo de auditoría.</w:t>
      </w:r>
    </w:p>
    <w:p w:rsidR="005F303E" w:rsidRDefault="005F303E" w:rsidP="001C6BD9">
      <w:pPr>
        <w:rPr>
          <w:rFonts w:ascii="Century Gothic" w:hAnsi="Century Gothic"/>
        </w:rPr>
      </w:pPr>
      <w:r>
        <w:rPr>
          <w:rFonts w:ascii="Century Gothic" w:hAnsi="Century Gothic"/>
        </w:rPr>
        <w:t xml:space="preserve">Para garantizar el cumplimiento de los objetivos del Departamento de Auditoría Interna es fundamental la independencia del Auditor Interno con respecto a las actividades auditadas, lo que permite que no existan limitaciones en el alcance del trabajo </w:t>
      </w:r>
      <w:r w:rsidR="007E02AA">
        <w:rPr>
          <w:rFonts w:ascii="Century Gothic" w:hAnsi="Century Gothic"/>
        </w:rPr>
        <w:t xml:space="preserve">y declarando que los Auditores Internos no tienen responsabilidad ni autoridad sobre las actividades que auditan, pero sí de los informes y reportes preparados para </w:t>
      </w:r>
      <w:r w:rsidR="00E00489">
        <w:rPr>
          <w:rFonts w:ascii="Century Gothic" w:hAnsi="Century Gothic"/>
        </w:rPr>
        <w:t xml:space="preserve">el Organismo Directivo de quien dependerá en línea de autoridad, según la Ley de la Corte de Cuentas de la República y </w:t>
      </w:r>
      <w:r w:rsidR="007E02AA">
        <w:rPr>
          <w:rFonts w:ascii="Century Gothic" w:hAnsi="Century Gothic"/>
        </w:rPr>
        <w:t>la Direcci</w:t>
      </w:r>
      <w:r w:rsidR="00E00489">
        <w:rPr>
          <w:rFonts w:ascii="Century Gothic" w:hAnsi="Century Gothic"/>
        </w:rPr>
        <w:t>ón Ejecutiva, de quien tendrá una relación</w:t>
      </w:r>
      <w:r w:rsidR="007E02AA">
        <w:rPr>
          <w:rFonts w:ascii="Century Gothic" w:hAnsi="Century Gothic"/>
        </w:rPr>
        <w:t xml:space="preserve"> en línea de staff.</w:t>
      </w:r>
    </w:p>
    <w:p w:rsidR="005F303E" w:rsidRPr="001C6BD9" w:rsidRDefault="005F303E" w:rsidP="001C6BD9">
      <w:pPr>
        <w:rPr>
          <w:rFonts w:ascii="Century Gothic" w:hAnsi="Century Gothic"/>
        </w:rPr>
      </w:pPr>
    </w:p>
    <w:p w:rsidR="007F69A5" w:rsidRDefault="007F69A5" w:rsidP="007F69A5">
      <w:pPr>
        <w:rPr>
          <w:rFonts w:ascii="Century Gothic" w:hAnsi="Century Gothic"/>
        </w:rPr>
      </w:pPr>
    </w:p>
    <w:p w:rsidR="00F53B10" w:rsidRPr="00F53B10" w:rsidRDefault="00FE6B31" w:rsidP="0096185F">
      <w:pPr>
        <w:rPr>
          <w:rFonts w:ascii="Century Gothic" w:hAnsi="Century Gothic"/>
        </w:rPr>
      </w:pPr>
      <w:r>
        <w:rPr>
          <w:rFonts w:ascii="Century Gothic" w:hAnsi="Century Gothic"/>
        </w:rPr>
        <w:t>San Salvador, U</w:t>
      </w:r>
      <w:r w:rsidR="007F69A5">
        <w:rPr>
          <w:rFonts w:ascii="Century Gothic" w:hAnsi="Century Gothic"/>
        </w:rPr>
        <w:t xml:space="preserve">AI, </w:t>
      </w:r>
      <w:r>
        <w:rPr>
          <w:rFonts w:ascii="Century Gothic" w:hAnsi="Century Gothic"/>
        </w:rPr>
        <w:t>4 Nov</w:t>
      </w:r>
      <w:r w:rsidR="00710AF3">
        <w:rPr>
          <w:rFonts w:ascii="Century Gothic" w:hAnsi="Century Gothic"/>
        </w:rPr>
        <w:t>iembre</w:t>
      </w:r>
      <w:r w:rsidR="007F69A5">
        <w:rPr>
          <w:rFonts w:ascii="Century Gothic" w:hAnsi="Century Gothic"/>
        </w:rPr>
        <w:t xml:space="preserve"> </w:t>
      </w:r>
      <w:r>
        <w:rPr>
          <w:rFonts w:ascii="Century Gothic" w:hAnsi="Century Gothic"/>
        </w:rPr>
        <w:t>de 1997</w:t>
      </w:r>
      <w:r w:rsidR="007F69A5">
        <w:rPr>
          <w:rFonts w:ascii="Century Gothic" w:hAnsi="Century Gothic"/>
        </w:rPr>
        <w:t>.</w:t>
      </w:r>
    </w:p>
    <w:sectPr w:rsidR="00F53B10" w:rsidRPr="00F53B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19" w:rsidRDefault="00FB6519" w:rsidP="003A40F4">
      <w:pPr>
        <w:spacing w:after="0" w:line="240" w:lineRule="auto"/>
      </w:pPr>
      <w:r>
        <w:separator/>
      </w:r>
    </w:p>
  </w:endnote>
  <w:endnote w:type="continuationSeparator" w:id="0">
    <w:p w:rsidR="00FB6519" w:rsidRDefault="00FB6519" w:rsidP="003A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897952"/>
      <w:docPartObj>
        <w:docPartGallery w:val="Page Numbers (Bottom of Page)"/>
        <w:docPartUnique/>
      </w:docPartObj>
    </w:sdtPr>
    <w:sdtEndPr/>
    <w:sdtContent>
      <w:p w:rsidR="003A40F4" w:rsidRDefault="003A40F4">
        <w:pPr>
          <w:pStyle w:val="Piedepgina"/>
          <w:jc w:val="right"/>
        </w:pPr>
        <w:r>
          <w:t xml:space="preserve">Página </w:t>
        </w:r>
        <w:r>
          <w:fldChar w:fldCharType="begin"/>
        </w:r>
        <w:r>
          <w:instrText>PAGE   \* MERGEFORMAT</w:instrText>
        </w:r>
        <w:r>
          <w:fldChar w:fldCharType="separate"/>
        </w:r>
        <w:r w:rsidR="002D4042" w:rsidRPr="002D4042">
          <w:rPr>
            <w:noProof/>
            <w:lang w:val="es-ES"/>
          </w:rPr>
          <w:t>2</w:t>
        </w:r>
        <w:r>
          <w:fldChar w:fldCharType="end"/>
        </w:r>
        <w:r w:rsidR="002D4042">
          <w:t xml:space="preserve"> de 4</w:t>
        </w:r>
      </w:p>
    </w:sdtContent>
  </w:sdt>
  <w:p w:rsidR="003A40F4" w:rsidRDefault="003A40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19" w:rsidRDefault="00FB6519" w:rsidP="003A40F4">
      <w:pPr>
        <w:spacing w:after="0" w:line="240" w:lineRule="auto"/>
      </w:pPr>
      <w:r>
        <w:separator/>
      </w:r>
    </w:p>
  </w:footnote>
  <w:footnote w:type="continuationSeparator" w:id="0">
    <w:p w:rsidR="00FB6519" w:rsidRDefault="00FB6519" w:rsidP="003A4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E58"/>
    <w:multiLevelType w:val="hybridMultilevel"/>
    <w:tmpl w:val="324E3F8E"/>
    <w:lvl w:ilvl="0" w:tplc="440A0015">
      <w:start w:val="1"/>
      <w:numFmt w:val="upp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nsid w:val="08210401"/>
    <w:multiLevelType w:val="hybridMultilevel"/>
    <w:tmpl w:val="E29AF0F6"/>
    <w:lvl w:ilvl="0" w:tplc="8A6E1520">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nsid w:val="0C901432"/>
    <w:multiLevelType w:val="hybridMultilevel"/>
    <w:tmpl w:val="FF1808C6"/>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
    <w:nsid w:val="11646312"/>
    <w:multiLevelType w:val="hybridMultilevel"/>
    <w:tmpl w:val="54640E36"/>
    <w:lvl w:ilvl="0" w:tplc="943C3E32">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nsid w:val="196D2F40"/>
    <w:multiLevelType w:val="hybridMultilevel"/>
    <w:tmpl w:val="4542413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1C4E2485"/>
    <w:multiLevelType w:val="hybridMultilevel"/>
    <w:tmpl w:val="8DC09AA0"/>
    <w:lvl w:ilvl="0" w:tplc="1DC21EF0">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23ED72D0"/>
    <w:multiLevelType w:val="hybridMultilevel"/>
    <w:tmpl w:val="1E364B8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28C66B14"/>
    <w:multiLevelType w:val="hybridMultilevel"/>
    <w:tmpl w:val="33E06FE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8">
    <w:nsid w:val="370C7980"/>
    <w:multiLevelType w:val="hybridMultilevel"/>
    <w:tmpl w:val="E3CA4488"/>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nsid w:val="373D5717"/>
    <w:multiLevelType w:val="hybridMultilevel"/>
    <w:tmpl w:val="C7BE52A8"/>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0">
    <w:nsid w:val="3B304D4A"/>
    <w:multiLevelType w:val="hybridMultilevel"/>
    <w:tmpl w:val="97D8DCAE"/>
    <w:lvl w:ilvl="0" w:tplc="4A62DF6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41232C89"/>
    <w:multiLevelType w:val="hybridMultilevel"/>
    <w:tmpl w:val="9DEC0FA2"/>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nsid w:val="486D33D9"/>
    <w:multiLevelType w:val="hybridMultilevel"/>
    <w:tmpl w:val="7FAA3D1A"/>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nsid w:val="557A74B0"/>
    <w:multiLevelType w:val="hybridMultilevel"/>
    <w:tmpl w:val="8DC09AA0"/>
    <w:lvl w:ilvl="0" w:tplc="1DC21EF0">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
    <w:nsid w:val="5C2F2EDA"/>
    <w:multiLevelType w:val="hybridMultilevel"/>
    <w:tmpl w:val="BED0BC5A"/>
    <w:lvl w:ilvl="0" w:tplc="440A0015">
      <w:start w:val="1"/>
      <w:numFmt w:val="upp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
    <w:nsid w:val="5C9C0899"/>
    <w:multiLevelType w:val="hybridMultilevel"/>
    <w:tmpl w:val="5240B3A6"/>
    <w:lvl w:ilvl="0" w:tplc="D8D4B500">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nsid w:val="5E5F1F1D"/>
    <w:multiLevelType w:val="hybridMultilevel"/>
    <w:tmpl w:val="4542413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7">
    <w:nsid w:val="6078348C"/>
    <w:multiLevelType w:val="hybridMultilevel"/>
    <w:tmpl w:val="499C5EC8"/>
    <w:lvl w:ilvl="0" w:tplc="81A2B73E">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8">
    <w:nsid w:val="6E6275A0"/>
    <w:multiLevelType w:val="hybridMultilevel"/>
    <w:tmpl w:val="0B3AF918"/>
    <w:lvl w:ilvl="0" w:tplc="FC2E138A">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
    <w:nsid w:val="782159DB"/>
    <w:multiLevelType w:val="hybridMultilevel"/>
    <w:tmpl w:val="4542413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
    <w:nsid w:val="79627124"/>
    <w:multiLevelType w:val="hybridMultilevel"/>
    <w:tmpl w:val="6ADAC638"/>
    <w:lvl w:ilvl="0" w:tplc="2A30C07A">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1">
    <w:nsid w:val="7C981962"/>
    <w:multiLevelType w:val="hybridMultilevel"/>
    <w:tmpl w:val="EA1CE43C"/>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0"/>
  </w:num>
  <w:num w:numId="4">
    <w:abstractNumId w:val="0"/>
  </w:num>
  <w:num w:numId="5">
    <w:abstractNumId w:val="18"/>
  </w:num>
  <w:num w:numId="6">
    <w:abstractNumId w:val="10"/>
  </w:num>
  <w:num w:numId="7">
    <w:abstractNumId w:val="1"/>
  </w:num>
  <w:num w:numId="8">
    <w:abstractNumId w:val="13"/>
  </w:num>
  <w:num w:numId="9">
    <w:abstractNumId w:val="5"/>
  </w:num>
  <w:num w:numId="10">
    <w:abstractNumId w:val="15"/>
  </w:num>
  <w:num w:numId="11">
    <w:abstractNumId w:val="17"/>
  </w:num>
  <w:num w:numId="12">
    <w:abstractNumId w:val="11"/>
  </w:num>
  <w:num w:numId="13">
    <w:abstractNumId w:val="8"/>
  </w:num>
  <w:num w:numId="14">
    <w:abstractNumId w:val="6"/>
  </w:num>
  <w:num w:numId="15">
    <w:abstractNumId w:val="19"/>
  </w:num>
  <w:num w:numId="16">
    <w:abstractNumId w:val="4"/>
  </w:num>
  <w:num w:numId="17">
    <w:abstractNumId w:val="14"/>
  </w:num>
  <w:num w:numId="18">
    <w:abstractNumId w:val="16"/>
  </w:num>
  <w:num w:numId="19">
    <w:abstractNumId w:val="21"/>
  </w:num>
  <w:num w:numId="20">
    <w:abstractNumId w:val="2"/>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10"/>
    <w:rsid w:val="00022DC1"/>
    <w:rsid w:val="000410E7"/>
    <w:rsid w:val="0004753E"/>
    <w:rsid w:val="00087455"/>
    <w:rsid w:val="000957C5"/>
    <w:rsid w:val="000A066E"/>
    <w:rsid w:val="000A2193"/>
    <w:rsid w:val="000B7EAC"/>
    <w:rsid w:val="000E0903"/>
    <w:rsid w:val="000F2ECD"/>
    <w:rsid w:val="000F43BD"/>
    <w:rsid w:val="00113101"/>
    <w:rsid w:val="00113F52"/>
    <w:rsid w:val="001236F3"/>
    <w:rsid w:val="00124EC7"/>
    <w:rsid w:val="001473DB"/>
    <w:rsid w:val="001476D3"/>
    <w:rsid w:val="001507EC"/>
    <w:rsid w:val="00157F9D"/>
    <w:rsid w:val="001645E3"/>
    <w:rsid w:val="001664AD"/>
    <w:rsid w:val="00180280"/>
    <w:rsid w:val="0019061D"/>
    <w:rsid w:val="001C6BD9"/>
    <w:rsid w:val="001D0BE4"/>
    <w:rsid w:val="001F4992"/>
    <w:rsid w:val="00226300"/>
    <w:rsid w:val="00242061"/>
    <w:rsid w:val="002568E9"/>
    <w:rsid w:val="00273D15"/>
    <w:rsid w:val="00277AC0"/>
    <w:rsid w:val="00286DC4"/>
    <w:rsid w:val="002A6448"/>
    <w:rsid w:val="002B441C"/>
    <w:rsid w:val="002C0AF3"/>
    <w:rsid w:val="002C29E3"/>
    <w:rsid w:val="002C78AF"/>
    <w:rsid w:val="002D4042"/>
    <w:rsid w:val="002D7BA7"/>
    <w:rsid w:val="002E0ABE"/>
    <w:rsid w:val="002E7114"/>
    <w:rsid w:val="002F4FA7"/>
    <w:rsid w:val="00302C63"/>
    <w:rsid w:val="003218C8"/>
    <w:rsid w:val="00322C89"/>
    <w:rsid w:val="003260E6"/>
    <w:rsid w:val="00330360"/>
    <w:rsid w:val="00353DD9"/>
    <w:rsid w:val="0037126C"/>
    <w:rsid w:val="003726C6"/>
    <w:rsid w:val="003829F0"/>
    <w:rsid w:val="003916A2"/>
    <w:rsid w:val="00391DBB"/>
    <w:rsid w:val="003A40F4"/>
    <w:rsid w:val="003A76EF"/>
    <w:rsid w:val="003C0F31"/>
    <w:rsid w:val="003D6D99"/>
    <w:rsid w:val="003F2D1D"/>
    <w:rsid w:val="00424010"/>
    <w:rsid w:val="00435158"/>
    <w:rsid w:val="00446A60"/>
    <w:rsid w:val="00463A41"/>
    <w:rsid w:val="0048175F"/>
    <w:rsid w:val="00485CEC"/>
    <w:rsid w:val="004F2891"/>
    <w:rsid w:val="00507DEA"/>
    <w:rsid w:val="005140C4"/>
    <w:rsid w:val="0052514D"/>
    <w:rsid w:val="00575EA9"/>
    <w:rsid w:val="0059558C"/>
    <w:rsid w:val="005F303E"/>
    <w:rsid w:val="005F36E5"/>
    <w:rsid w:val="00630EDB"/>
    <w:rsid w:val="0063224C"/>
    <w:rsid w:val="006346A1"/>
    <w:rsid w:val="00650303"/>
    <w:rsid w:val="0066083E"/>
    <w:rsid w:val="00662E8F"/>
    <w:rsid w:val="006A5065"/>
    <w:rsid w:val="006A5961"/>
    <w:rsid w:val="006B0356"/>
    <w:rsid w:val="006C3447"/>
    <w:rsid w:val="006E0893"/>
    <w:rsid w:val="006F0945"/>
    <w:rsid w:val="006F7FB8"/>
    <w:rsid w:val="00710AF3"/>
    <w:rsid w:val="00714108"/>
    <w:rsid w:val="00720A81"/>
    <w:rsid w:val="0072217A"/>
    <w:rsid w:val="0072421A"/>
    <w:rsid w:val="007260ED"/>
    <w:rsid w:val="00730131"/>
    <w:rsid w:val="007524D5"/>
    <w:rsid w:val="00786102"/>
    <w:rsid w:val="007A4C76"/>
    <w:rsid w:val="007C3F06"/>
    <w:rsid w:val="007D60ED"/>
    <w:rsid w:val="007D6D97"/>
    <w:rsid w:val="007E02AA"/>
    <w:rsid w:val="007E3EF1"/>
    <w:rsid w:val="007F69A5"/>
    <w:rsid w:val="00833A44"/>
    <w:rsid w:val="00844D1A"/>
    <w:rsid w:val="00847A22"/>
    <w:rsid w:val="00850629"/>
    <w:rsid w:val="008628D4"/>
    <w:rsid w:val="00875778"/>
    <w:rsid w:val="00876CBC"/>
    <w:rsid w:val="008A6648"/>
    <w:rsid w:val="008C0329"/>
    <w:rsid w:val="008C1F3E"/>
    <w:rsid w:val="008C5935"/>
    <w:rsid w:val="008E0DA5"/>
    <w:rsid w:val="009029EF"/>
    <w:rsid w:val="00903A58"/>
    <w:rsid w:val="00906A37"/>
    <w:rsid w:val="0096185F"/>
    <w:rsid w:val="00964DFE"/>
    <w:rsid w:val="00996F6F"/>
    <w:rsid w:val="009F16E3"/>
    <w:rsid w:val="009F4E16"/>
    <w:rsid w:val="00A02124"/>
    <w:rsid w:val="00A247ED"/>
    <w:rsid w:val="00A31CE9"/>
    <w:rsid w:val="00A4555A"/>
    <w:rsid w:val="00A84B34"/>
    <w:rsid w:val="00AB3517"/>
    <w:rsid w:val="00AC76AC"/>
    <w:rsid w:val="00AD620E"/>
    <w:rsid w:val="00AD63D2"/>
    <w:rsid w:val="00AD7A59"/>
    <w:rsid w:val="00AF6E81"/>
    <w:rsid w:val="00B1528F"/>
    <w:rsid w:val="00B22CB8"/>
    <w:rsid w:val="00B234E5"/>
    <w:rsid w:val="00B403E8"/>
    <w:rsid w:val="00B43E33"/>
    <w:rsid w:val="00B5447C"/>
    <w:rsid w:val="00B60E22"/>
    <w:rsid w:val="00B92DE3"/>
    <w:rsid w:val="00B964D8"/>
    <w:rsid w:val="00BA34F0"/>
    <w:rsid w:val="00BA36D5"/>
    <w:rsid w:val="00BC5249"/>
    <w:rsid w:val="00BD2A5E"/>
    <w:rsid w:val="00BE5E97"/>
    <w:rsid w:val="00BF47D4"/>
    <w:rsid w:val="00C04FE2"/>
    <w:rsid w:val="00C204E4"/>
    <w:rsid w:val="00C21E46"/>
    <w:rsid w:val="00C2308D"/>
    <w:rsid w:val="00C26504"/>
    <w:rsid w:val="00C405FC"/>
    <w:rsid w:val="00C44C5A"/>
    <w:rsid w:val="00C4775B"/>
    <w:rsid w:val="00C645AD"/>
    <w:rsid w:val="00C720A0"/>
    <w:rsid w:val="00C75709"/>
    <w:rsid w:val="00C77BB4"/>
    <w:rsid w:val="00C81600"/>
    <w:rsid w:val="00CB11E9"/>
    <w:rsid w:val="00CC45CD"/>
    <w:rsid w:val="00CD76E9"/>
    <w:rsid w:val="00CE3639"/>
    <w:rsid w:val="00D16719"/>
    <w:rsid w:val="00D40370"/>
    <w:rsid w:val="00D452F7"/>
    <w:rsid w:val="00D61C7A"/>
    <w:rsid w:val="00D65964"/>
    <w:rsid w:val="00D91C7D"/>
    <w:rsid w:val="00D928BE"/>
    <w:rsid w:val="00D95319"/>
    <w:rsid w:val="00D9782F"/>
    <w:rsid w:val="00DC044E"/>
    <w:rsid w:val="00DD5D93"/>
    <w:rsid w:val="00DE3F6F"/>
    <w:rsid w:val="00DF0A0D"/>
    <w:rsid w:val="00E00489"/>
    <w:rsid w:val="00E12DBA"/>
    <w:rsid w:val="00E13D7E"/>
    <w:rsid w:val="00E15CE0"/>
    <w:rsid w:val="00E23C68"/>
    <w:rsid w:val="00E24691"/>
    <w:rsid w:val="00E4198F"/>
    <w:rsid w:val="00E460CA"/>
    <w:rsid w:val="00E73F47"/>
    <w:rsid w:val="00E82B2D"/>
    <w:rsid w:val="00E90D05"/>
    <w:rsid w:val="00EB7A2F"/>
    <w:rsid w:val="00ED1E6B"/>
    <w:rsid w:val="00EE71D1"/>
    <w:rsid w:val="00EF1349"/>
    <w:rsid w:val="00F15458"/>
    <w:rsid w:val="00F24478"/>
    <w:rsid w:val="00F2634F"/>
    <w:rsid w:val="00F42D1C"/>
    <w:rsid w:val="00F43049"/>
    <w:rsid w:val="00F53B10"/>
    <w:rsid w:val="00F634E2"/>
    <w:rsid w:val="00FB6519"/>
    <w:rsid w:val="00FD2E2F"/>
    <w:rsid w:val="00FE5B9F"/>
    <w:rsid w:val="00FE6B31"/>
    <w:rsid w:val="00FE6FE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6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757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3B10"/>
    <w:pPr>
      <w:spacing w:after="0" w:line="240" w:lineRule="auto"/>
    </w:pPr>
  </w:style>
  <w:style w:type="character" w:customStyle="1" w:styleId="Ttulo1Car">
    <w:name w:val="Título 1 Car"/>
    <w:basedOn w:val="Fuentedeprrafopredeter"/>
    <w:link w:val="Ttulo1"/>
    <w:uiPriority w:val="9"/>
    <w:rsid w:val="00906A3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75709"/>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7C3F06"/>
    <w:pPr>
      <w:outlineLvl w:val="9"/>
    </w:pPr>
    <w:rPr>
      <w:lang w:eastAsia="es-SV"/>
    </w:rPr>
  </w:style>
  <w:style w:type="paragraph" w:styleId="TDC1">
    <w:name w:val="toc 1"/>
    <w:basedOn w:val="Normal"/>
    <w:next w:val="Normal"/>
    <w:autoRedefine/>
    <w:uiPriority w:val="39"/>
    <w:unhideWhenUsed/>
    <w:rsid w:val="000A2193"/>
    <w:pPr>
      <w:tabs>
        <w:tab w:val="left" w:pos="284"/>
        <w:tab w:val="right" w:leader="dot" w:pos="8828"/>
      </w:tabs>
      <w:spacing w:after="100"/>
    </w:pPr>
    <w:rPr>
      <w:rFonts w:ascii="Century Gothic" w:hAnsi="Century Gothic"/>
      <w:b/>
      <w:noProof/>
    </w:rPr>
  </w:style>
  <w:style w:type="paragraph" w:styleId="TDC2">
    <w:name w:val="toc 2"/>
    <w:basedOn w:val="Normal"/>
    <w:next w:val="Normal"/>
    <w:autoRedefine/>
    <w:uiPriority w:val="39"/>
    <w:unhideWhenUsed/>
    <w:rsid w:val="007C3F06"/>
    <w:pPr>
      <w:tabs>
        <w:tab w:val="left" w:pos="567"/>
        <w:tab w:val="right" w:leader="dot" w:pos="8828"/>
      </w:tabs>
      <w:spacing w:after="100"/>
      <w:ind w:left="220"/>
    </w:pPr>
  </w:style>
  <w:style w:type="character" w:styleId="Hipervnculo">
    <w:name w:val="Hyperlink"/>
    <w:basedOn w:val="Fuentedeprrafopredeter"/>
    <w:uiPriority w:val="99"/>
    <w:unhideWhenUsed/>
    <w:rsid w:val="007C3F06"/>
    <w:rPr>
      <w:color w:val="0000FF" w:themeColor="hyperlink"/>
      <w:u w:val="single"/>
    </w:rPr>
  </w:style>
  <w:style w:type="paragraph" w:styleId="Textodeglobo">
    <w:name w:val="Balloon Text"/>
    <w:basedOn w:val="Normal"/>
    <w:link w:val="TextodegloboCar"/>
    <w:uiPriority w:val="99"/>
    <w:semiHidden/>
    <w:unhideWhenUsed/>
    <w:rsid w:val="007C3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F06"/>
    <w:rPr>
      <w:rFonts w:ascii="Tahoma" w:hAnsi="Tahoma" w:cs="Tahoma"/>
      <w:sz w:val="16"/>
      <w:szCs w:val="16"/>
    </w:rPr>
  </w:style>
  <w:style w:type="paragraph" w:styleId="Prrafodelista">
    <w:name w:val="List Paragraph"/>
    <w:basedOn w:val="Normal"/>
    <w:uiPriority w:val="34"/>
    <w:qFormat/>
    <w:rsid w:val="008A6648"/>
    <w:pPr>
      <w:ind w:left="720"/>
      <w:contextualSpacing/>
    </w:pPr>
  </w:style>
  <w:style w:type="paragraph" w:styleId="Encabezado">
    <w:name w:val="header"/>
    <w:basedOn w:val="Normal"/>
    <w:link w:val="EncabezadoCar"/>
    <w:uiPriority w:val="99"/>
    <w:unhideWhenUsed/>
    <w:rsid w:val="003A40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0F4"/>
  </w:style>
  <w:style w:type="paragraph" w:styleId="Piedepgina">
    <w:name w:val="footer"/>
    <w:basedOn w:val="Normal"/>
    <w:link w:val="PiedepginaCar"/>
    <w:uiPriority w:val="99"/>
    <w:unhideWhenUsed/>
    <w:rsid w:val="003A40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6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757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3B10"/>
    <w:pPr>
      <w:spacing w:after="0" w:line="240" w:lineRule="auto"/>
    </w:pPr>
  </w:style>
  <w:style w:type="character" w:customStyle="1" w:styleId="Ttulo1Car">
    <w:name w:val="Título 1 Car"/>
    <w:basedOn w:val="Fuentedeprrafopredeter"/>
    <w:link w:val="Ttulo1"/>
    <w:uiPriority w:val="9"/>
    <w:rsid w:val="00906A3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75709"/>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7C3F06"/>
    <w:pPr>
      <w:outlineLvl w:val="9"/>
    </w:pPr>
    <w:rPr>
      <w:lang w:eastAsia="es-SV"/>
    </w:rPr>
  </w:style>
  <w:style w:type="paragraph" w:styleId="TDC1">
    <w:name w:val="toc 1"/>
    <w:basedOn w:val="Normal"/>
    <w:next w:val="Normal"/>
    <w:autoRedefine/>
    <w:uiPriority w:val="39"/>
    <w:unhideWhenUsed/>
    <w:rsid w:val="000A2193"/>
    <w:pPr>
      <w:tabs>
        <w:tab w:val="left" w:pos="284"/>
        <w:tab w:val="right" w:leader="dot" w:pos="8828"/>
      </w:tabs>
      <w:spacing w:after="100"/>
    </w:pPr>
    <w:rPr>
      <w:rFonts w:ascii="Century Gothic" w:hAnsi="Century Gothic"/>
      <w:b/>
      <w:noProof/>
    </w:rPr>
  </w:style>
  <w:style w:type="paragraph" w:styleId="TDC2">
    <w:name w:val="toc 2"/>
    <w:basedOn w:val="Normal"/>
    <w:next w:val="Normal"/>
    <w:autoRedefine/>
    <w:uiPriority w:val="39"/>
    <w:unhideWhenUsed/>
    <w:rsid w:val="007C3F06"/>
    <w:pPr>
      <w:tabs>
        <w:tab w:val="left" w:pos="567"/>
        <w:tab w:val="right" w:leader="dot" w:pos="8828"/>
      </w:tabs>
      <w:spacing w:after="100"/>
      <w:ind w:left="220"/>
    </w:pPr>
  </w:style>
  <w:style w:type="character" w:styleId="Hipervnculo">
    <w:name w:val="Hyperlink"/>
    <w:basedOn w:val="Fuentedeprrafopredeter"/>
    <w:uiPriority w:val="99"/>
    <w:unhideWhenUsed/>
    <w:rsid w:val="007C3F06"/>
    <w:rPr>
      <w:color w:val="0000FF" w:themeColor="hyperlink"/>
      <w:u w:val="single"/>
    </w:rPr>
  </w:style>
  <w:style w:type="paragraph" w:styleId="Textodeglobo">
    <w:name w:val="Balloon Text"/>
    <w:basedOn w:val="Normal"/>
    <w:link w:val="TextodegloboCar"/>
    <w:uiPriority w:val="99"/>
    <w:semiHidden/>
    <w:unhideWhenUsed/>
    <w:rsid w:val="007C3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F06"/>
    <w:rPr>
      <w:rFonts w:ascii="Tahoma" w:hAnsi="Tahoma" w:cs="Tahoma"/>
      <w:sz w:val="16"/>
      <w:szCs w:val="16"/>
    </w:rPr>
  </w:style>
  <w:style w:type="paragraph" w:styleId="Prrafodelista">
    <w:name w:val="List Paragraph"/>
    <w:basedOn w:val="Normal"/>
    <w:uiPriority w:val="34"/>
    <w:qFormat/>
    <w:rsid w:val="008A6648"/>
    <w:pPr>
      <w:ind w:left="720"/>
      <w:contextualSpacing/>
    </w:pPr>
  </w:style>
  <w:style w:type="paragraph" w:styleId="Encabezado">
    <w:name w:val="header"/>
    <w:basedOn w:val="Normal"/>
    <w:link w:val="EncabezadoCar"/>
    <w:uiPriority w:val="99"/>
    <w:unhideWhenUsed/>
    <w:rsid w:val="003A40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0F4"/>
  </w:style>
  <w:style w:type="paragraph" w:styleId="Piedepgina">
    <w:name w:val="footer"/>
    <w:basedOn w:val="Normal"/>
    <w:link w:val="PiedepginaCar"/>
    <w:uiPriority w:val="99"/>
    <w:unhideWhenUsed/>
    <w:rsid w:val="003A40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43BD5-5D50-4AFE-B7B2-320056E7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687</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Hernandez</dc:creator>
  <cp:lastModifiedBy>Raul Hernandez</cp:lastModifiedBy>
  <cp:revision>1387</cp:revision>
  <cp:lastPrinted>2015-10-22T20:04:00Z</cp:lastPrinted>
  <dcterms:created xsi:type="dcterms:W3CDTF">2015-10-21T16:04:00Z</dcterms:created>
  <dcterms:modified xsi:type="dcterms:W3CDTF">2016-01-26T16:09:00Z</dcterms:modified>
</cp:coreProperties>
</file>